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0BBF79" w14:textId="77777777" w:rsidR="00E33FD9" w:rsidRDefault="00000000">
      <w:pPr>
        <w:pStyle w:val="normal1"/>
        <w:spacing w:before="20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ROJETO DE LEI Nº ____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/202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5ABD40C0" w14:textId="77777777" w:rsidR="00E33FD9" w:rsidRDefault="00E33FD9">
      <w:pPr>
        <w:pStyle w:val="normal1"/>
        <w:spacing w:line="360" w:lineRule="auto"/>
        <w:ind w:left="42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969DDA5" w14:textId="77777777" w:rsidR="00E33FD9" w:rsidRDefault="00000000">
      <w:pPr>
        <w:pStyle w:val="normal1"/>
        <w:spacing w:line="360" w:lineRule="auto"/>
        <w:ind w:left="424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ALTERA A LEI Nº 2.529, DE 17 DE SETEMBRO DE 1997, PARA AUTORIZAR A IMPLANTAÇÃO E A OPERAÇÃO DE INFRAESTRUTURA DESTINADA À RECARGA DE VEÍCULOS ELÉTRICOS E HÍBRIDOS PLUG-IN EM POSTOS DE ABASTECIMENTO E SERVIÇOS, E ESTABELECER REQUISITOS TÉCNICOS E DE SEGURANÇA PARA SUA INSTALAÇÃO.</w:t>
      </w:r>
    </w:p>
    <w:p w14:paraId="5D68B8E3" w14:textId="77777777" w:rsidR="00E33FD9" w:rsidRDefault="00E33FD9">
      <w:pPr>
        <w:pStyle w:val="normal1"/>
        <w:spacing w:line="360" w:lineRule="auto"/>
        <w:ind w:left="424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E33FD9">
          <w:headerReference w:type="even" r:id="rId7"/>
          <w:headerReference w:type="default" r:id="rId8"/>
          <w:footerReference w:type="default" r:id="rId9"/>
          <w:headerReference w:type="first" r:id="rId10"/>
          <w:pgSz w:w="11906" w:h="16838"/>
          <w:pgMar w:top="2835" w:right="1701" w:bottom="1418" w:left="1701" w:header="709" w:footer="0" w:gutter="0"/>
          <w:pgNumType w:start="1"/>
          <w:cols w:space="720"/>
        </w:sectPr>
      </w:pPr>
    </w:p>
    <w:p w14:paraId="1589D447" w14:textId="77777777" w:rsidR="00E33FD9" w:rsidRDefault="00E33FD9">
      <w:pPr>
        <w:pStyle w:val="normal1"/>
        <w:tabs>
          <w:tab w:val="center" w:pos="4419"/>
          <w:tab w:val="right" w:pos="8838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3A16C47" w14:textId="77777777" w:rsidR="00E33FD9" w:rsidRDefault="00000000">
      <w:pPr>
        <w:pStyle w:val="normal1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 Prefeita do Município de Aracaju</w:t>
      </w:r>
    </w:p>
    <w:p w14:paraId="42C3BA62" w14:textId="77777777" w:rsidR="00E33FD9" w:rsidRDefault="00000000">
      <w:pPr>
        <w:pStyle w:val="normal1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Faz saber que a Câmara de Vereadores de Aracaju aprovou e ela sanciona a seguinte Lei:</w:t>
      </w:r>
    </w:p>
    <w:p w14:paraId="69D20C3A" w14:textId="77777777" w:rsidR="00E33FD9" w:rsidRDefault="00000000">
      <w:pPr>
        <w:pStyle w:val="normal1"/>
        <w:spacing w:before="20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Art. 1º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Acrescenta-se inciso VII ao art. 3º da Lei nº 2.529, de 17 de setembro de 1997, que passará a vigorar com a seguinte redação:</w:t>
      </w:r>
    </w:p>
    <w:p w14:paraId="3A2C09FA" w14:textId="77777777" w:rsidR="00E33FD9" w:rsidRDefault="00000000">
      <w:pPr>
        <w:pStyle w:val="normal1"/>
        <w:spacing w:before="200" w:after="240" w:line="360" w:lineRule="auto"/>
        <w:ind w:left="22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Art. 3º - São atividades permitidas aos Postos de Abastecimento e Serviços:</w:t>
      </w:r>
    </w:p>
    <w:p w14:paraId="46878DCB" w14:textId="77777777" w:rsidR="00E33FD9" w:rsidRDefault="00000000">
      <w:pPr>
        <w:pStyle w:val="normal1"/>
        <w:spacing w:before="200" w:after="240" w:line="360" w:lineRule="auto"/>
        <w:ind w:left="22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[...]</w:t>
      </w:r>
    </w:p>
    <w:p w14:paraId="595773A5" w14:textId="77777777" w:rsidR="00E33FD9" w:rsidRDefault="00000000">
      <w:pPr>
        <w:pStyle w:val="normal1"/>
        <w:spacing w:before="200" w:after="240" w:line="360" w:lineRule="auto"/>
        <w:ind w:left="22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VII - a implantação e operação de infraestrutura destinada ao abastecimento e à recarga de veículos elétricos e híbridos plug-in, inclusive de sistemas de recarga convencional e rápida (eletropostos).</w:t>
      </w:r>
    </w:p>
    <w:p w14:paraId="0AFC650D" w14:textId="77777777" w:rsidR="00E33FD9" w:rsidRDefault="00E33FD9">
      <w:pPr>
        <w:pStyle w:val="normal1"/>
        <w:spacing w:before="20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BD4A9D" w14:textId="77777777" w:rsidR="00E33FD9" w:rsidRDefault="00000000">
      <w:pPr>
        <w:pStyle w:val="normal1"/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Art. 2º - </w:t>
      </w:r>
      <w:r>
        <w:rPr>
          <w:rFonts w:ascii="Times New Roman" w:eastAsia="Times New Roman" w:hAnsi="Times New Roman" w:cs="Times New Roman"/>
          <w:sz w:val="24"/>
          <w:szCs w:val="24"/>
        </w:rPr>
        <w:t>Acrescenta-se o art. 6º-A ao corpo da Lei nº 2.529, de 17 de setembro de 1997, que passará a vigorar com a seguinte redação:</w:t>
      </w:r>
    </w:p>
    <w:p w14:paraId="6BE426EC" w14:textId="77777777" w:rsidR="00E33FD9" w:rsidRDefault="00000000">
      <w:pPr>
        <w:pStyle w:val="normal1"/>
        <w:spacing w:before="240" w:after="240" w:line="360" w:lineRule="auto"/>
        <w:ind w:left="22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Art. 6º-A - Para atender ao disposto no inciso VII do art. 3º desta Lei, os Postos de Abastecimento e Serviços que implantarem infraestrutura destinada à recarga de veículos elétricos e híbridos plug-in deverão observar as seguintes disposições:</w:t>
      </w:r>
    </w:p>
    <w:p w14:paraId="2AB62D49" w14:textId="77777777" w:rsidR="00E33FD9" w:rsidRDefault="00000000">
      <w:pPr>
        <w:pStyle w:val="normal1"/>
        <w:spacing w:before="240" w:after="240" w:line="360" w:lineRule="auto"/>
        <w:ind w:left="22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I - A infraestrutura de recarga elétrica deverá ser instalada a uma distância mínima de 20 (vinte) metros das áreas destinadas a: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br/>
        <w:t>a) sistemas de armazenamento de combustíveis líquidos, compreendidos os tanques subterrâneos ou aéreos;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br/>
        <w:t>b) áreas de compressão, armazenamento e abastecimento de Gás Natural Veicular – GNV;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br/>
        <w:t>c) grupos geradores de energia elétrica e demais equipamentos considerados fontes potenciais de ignição ou de risco operacional;</w:t>
      </w:r>
    </w:p>
    <w:p w14:paraId="29F4259C" w14:textId="77777777" w:rsidR="00E33FD9" w:rsidRDefault="00000000">
      <w:pPr>
        <w:pStyle w:val="normal1"/>
        <w:spacing w:before="240" w:after="240" w:line="360" w:lineRule="auto"/>
        <w:ind w:left="22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II - Os sistemas de recarga de veículos elétricos não serão caracterizados como atividade de risco, desde que atendam às normas técnicas vigentes, especialmente aquelas expedidas pela Associação Brasileira de Normas Técnicas – ABNT, pela Agência Nacional de Energia Elétrica – ANEEL e pelo Corpo de Bombeiros Militar do Estado de Sergipe, bem como às diretrizes do órgão municipal de controle competente;</w:t>
      </w:r>
    </w:p>
    <w:p w14:paraId="16538E38" w14:textId="77777777" w:rsidR="00E33FD9" w:rsidRDefault="00000000">
      <w:pPr>
        <w:pStyle w:val="normal1"/>
        <w:spacing w:before="240" w:after="240" w:line="360" w:lineRule="auto"/>
        <w:ind w:left="22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III - A implantação da atividade de recarga elétrica será considerada atividade complementar e compatível com a operação dos postos de combustíveis, não alterando o enquadramento principal do empreendimento, desde que não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implique ampliação de tancagem nem modificação substancial do sistema de armazenamento e distribuição de combustíveis;</w:t>
      </w:r>
    </w:p>
    <w:p w14:paraId="1E83A4D5" w14:textId="77777777" w:rsidR="00E33FD9" w:rsidRDefault="00000000">
      <w:pPr>
        <w:pStyle w:val="normal1"/>
        <w:spacing w:before="240" w:after="240" w:line="360" w:lineRule="auto"/>
        <w:ind w:left="22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IV - Os equipamentos de recarga deverão possuir sistemas de proteção elétrica, aterramento, sinalização adequada e dispositivos de desligamento de emergência, em conformidade com as normas técnicas aplicáveis;</w:t>
      </w:r>
    </w:p>
    <w:p w14:paraId="3B57327B" w14:textId="77777777" w:rsidR="00E33FD9" w:rsidRDefault="00000000">
      <w:pPr>
        <w:pStyle w:val="normal1"/>
        <w:spacing w:before="240" w:after="240" w:line="360" w:lineRule="auto"/>
        <w:ind w:left="22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V - As vagas de recarga devem ser exclusivas para veículos em processo de recarga, bem sinalizadas e adaptadas segundo as normas de acessibilidade universal para atender pessoas com mobilidade reduzida;</w:t>
      </w:r>
    </w:p>
    <w:p w14:paraId="1B386DE1" w14:textId="77777777" w:rsidR="00E33FD9" w:rsidRDefault="00000000">
      <w:pPr>
        <w:pStyle w:val="normal1"/>
        <w:spacing w:before="240" w:after="240" w:line="360" w:lineRule="auto"/>
        <w:ind w:left="22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VI - A atividade de recarga elétrica deverá constar expressamente no processo de licenciamento ambiental, quando exigido, admitida a atualização ou adequação da licença vigente, sem prejuízo da continuidade da operação principal do posto.</w:t>
      </w:r>
    </w:p>
    <w:p w14:paraId="5EDC185E" w14:textId="77777777" w:rsidR="00E33FD9" w:rsidRDefault="00000000">
      <w:pPr>
        <w:pStyle w:val="normal1"/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Art. 3º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 Poder Executivo regulamentará esta Lei no que couber.</w:t>
      </w:r>
    </w:p>
    <w:p w14:paraId="3C9FC0DD" w14:textId="77777777" w:rsidR="00E33FD9" w:rsidRDefault="00000000">
      <w:pPr>
        <w:pStyle w:val="normal1"/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Art. 4º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As despesas decorrentes da execução desta Lei correrão à conta de dotações orçamentárias próprias, se necessário.</w:t>
      </w:r>
    </w:p>
    <w:p w14:paraId="57B6BBA5" w14:textId="77777777" w:rsidR="00E33FD9" w:rsidRDefault="00000000">
      <w:pPr>
        <w:pStyle w:val="normal1"/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Art. 5º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Esta Lei entra em vigor na data de sua publicação.</w:t>
      </w:r>
    </w:p>
    <w:p w14:paraId="18498F39" w14:textId="77777777" w:rsidR="00E33FD9" w:rsidRDefault="00000000">
      <w:pPr>
        <w:pStyle w:val="normal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Palácio Graccho Cardoso, Aracaju, 03 de fevereiro de 2026.</w:t>
      </w:r>
    </w:p>
    <w:p w14:paraId="59082EDC" w14:textId="77777777" w:rsidR="00E33FD9" w:rsidRDefault="00E33FD9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</w:p>
    <w:p w14:paraId="29FA8DC2" w14:textId="77777777" w:rsidR="00E33FD9" w:rsidRDefault="00000000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05BE801A" wp14:editId="78451433">
            <wp:simplePos x="0" y="0"/>
            <wp:positionH relativeFrom="column">
              <wp:posOffset>2095027</wp:posOffset>
            </wp:positionH>
            <wp:positionV relativeFrom="paragraph">
              <wp:posOffset>53355</wp:posOffset>
            </wp:positionV>
            <wp:extent cx="1208405" cy="619125"/>
            <wp:effectExtent l="0" t="0" r="0" b="0"/>
            <wp:wrapNone/>
            <wp:docPr id="3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1D0B2B" w14:textId="77777777" w:rsidR="00E33FD9" w:rsidRDefault="00E33FD9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</w:p>
    <w:p w14:paraId="5142333B" w14:textId="77777777" w:rsidR="00E33FD9" w:rsidRDefault="00E33FD9">
      <w:pPr>
        <w:pStyle w:val="normal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3B44AA1" w14:textId="77777777" w:rsidR="00E33FD9" w:rsidRDefault="00000000">
      <w:pPr>
        <w:pStyle w:val="normal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BRENO GARIBALDE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669FE76A" w14:textId="77777777" w:rsidR="00E33FD9" w:rsidRDefault="00000000">
      <w:pPr>
        <w:pStyle w:val="normal1"/>
        <w:jc w:val="center"/>
      </w:pPr>
      <w:r>
        <w:rPr>
          <w:rFonts w:ascii="Times New Roman" w:eastAsia="Times New Roman" w:hAnsi="Times New Roman" w:cs="Times New Roman"/>
          <w:sz w:val="24"/>
          <w:szCs w:val="24"/>
        </w:rPr>
        <w:t>Vereador.</w:t>
      </w:r>
    </w:p>
    <w:p w14:paraId="6D5869F2" w14:textId="77777777" w:rsidR="00EA4880" w:rsidRDefault="00EA4880">
      <w:pPr>
        <w:pStyle w:val="normal1"/>
        <w:spacing w:after="2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13E09D2" w14:textId="77777777" w:rsidR="00EA4880" w:rsidRDefault="00EA4880">
      <w:pPr>
        <w:pStyle w:val="normal1"/>
        <w:spacing w:after="2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F7DC120" w14:textId="73E55D6D" w:rsidR="00E33FD9" w:rsidRDefault="00000000">
      <w:pPr>
        <w:pStyle w:val="normal1"/>
        <w:spacing w:after="2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JUSTIFICATIVA</w:t>
      </w:r>
    </w:p>
    <w:p w14:paraId="3666A684" w14:textId="77777777" w:rsidR="00E33FD9" w:rsidRDefault="00000000">
      <w:pPr>
        <w:pStyle w:val="normal1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presente proposição tem por objetivo atualizar a Lei nº 2.529, de 17 de setembro de 1997, que regulamenta a instalação e o funcionamento dos Postos de Abastecimento e Serviços no Município de Aracaju, a fim de adequá-la às transformações tecnológicas, ambientais e urbanísticas relacionadas à mobilidade elétrica.</w:t>
      </w:r>
    </w:p>
    <w:p w14:paraId="1B0EF125" w14:textId="0A1FB1ED" w:rsidR="00E33FD9" w:rsidRDefault="00000000">
      <w:pPr>
        <w:pStyle w:val="normal1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Nas últimas décadas, o setor de transportes tem passado por profundas mudanças, impulsionadas pela necessidade de redução das emissões de gases poluentes, pela busca por maior eficiência energética e pela transição para modelos de mobilidade mais sustentáveis. Nesse contexto, os veículos </w:t>
      </w:r>
      <w:r w:rsidR="00EA4880">
        <w:rPr>
          <w:rFonts w:ascii="Times New Roman" w:eastAsia="Times New Roman" w:hAnsi="Times New Roman" w:cs="Times New Roman"/>
          <w:sz w:val="24"/>
          <w:szCs w:val="24"/>
        </w:rPr>
        <w:t>elétricos e híbridos plug-in vem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ganhando espaço no mercado nacional, exigindo do Poder Público a criação de um ambiente normativo que garanta segurança jurídica, técnica e operacional para a implantação da infraestrutura necessária ao seu funcionamento.</w:t>
      </w:r>
    </w:p>
    <w:p w14:paraId="2745CE18" w14:textId="77777777" w:rsidR="00E33FD9" w:rsidRDefault="00000000">
      <w:pPr>
        <w:pStyle w:val="normal1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legislação municipal vigente, embora adequada à realidade da época de sua edição, não contempla expressamente a atividade de recarga elétrica, o que pode gerar insegurança quanto ao licenciamento, à fiscalização e à compatibilidade dessa atividade com a operação dos postos de combustíveis. O presente Projeto de Lei busca suprir essa lacuna, autorizando de forma clara e expressa a implantação e a operação de pontos de recarga elétrica nesses estabelecimentos.</w:t>
      </w:r>
    </w:p>
    <w:p w14:paraId="3C00244B" w14:textId="77777777" w:rsidR="00E33FD9" w:rsidRDefault="00000000">
      <w:pPr>
        <w:pStyle w:val="normal1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Importante destacar que a proposta não descaracteriza os postos de abastecimento, nem altera seu enquadramento principal, tratando a recarga elétrica como atividade complementar e compatível, desde que não haja ampliação da tancagem ou modificação substancial do sistema de combustíveis. Tal abordagem preserva o equilíbrio urbanístico e econômico dos empreendimentos já existentes, ao mesmo tempo em que estimula a inovação e a modernização dos serviços prestados.</w:t>
      </w:r>
    </w:p>
    <w:p w14:paraId="6C7D2636" w14:textId="77777777" w:rsidR="00E33FD9" w:rsidRDefault="00000000">
      <w:pPr>
        <w:pStyle w:val="normal1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Projeto também estabelece requisitos técnicos e de segurança, como o distanciamento mínimo entre os sistemas de recarga elétrica e áreas sensíveis dos postos, bem como a obrigatoriedade de observância das normas técnicas da Associação Brasileira de Normas Técnicas – ABNT, da Agência Nacional de Energia Elétrica – ANEEL e das exigências do Corpo de Bombeiros Militar do Estado de Sergipe. Dessa forma, assegura-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se que a implantação dessa infraestrutura ocorra de maneira segura, responsável e alinhada às melhores práticas técnicas.</w:t>
      </w:r>
    </w:p>
    <w:p w14:paraId="182FE513" w14:textId="77777777" w:rsidR="00E33FD9" w:rsidRDefault="00000000">
      <w:pPr>
        <w:pStyle w:val="normal1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Além disso, a previsão de adequação ao licenciamento ambiental, quando exigido, reforça o compromisso do Município com a proteção ambiental, sem impor entraves desproporcionais à atividade econômica, garantindo a continuidade da operação principal dos postos.</w:t>
      </w:r>
    </w:p>
    <w:p w14:paraId="0073BC55" w14:textId="77777777" w:rsidR="00E33FD9" w:rsidRDefault="00000000">
      <w:pPr>
        <w:pStyle w:val="normal1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Assim, o presente Projeto de Lei representa um avanço normativo necessário, alinhado às diretrizes contemporâneas de sustentabilidade, inovação e planejamento urbano, contribuindo para que Aracaju se prepare para os desafios da mobilidade do futuro, com segurança jurídica, responsabilidade ambiental e interesse público.</w:t>
      </w:r>
    </w:p>
    <w:p w14:paraId="730CC5B8" w14:textId="77777777" w:rsidR="00E33FD9" w:rsidRDefault="00000000">
      <w:pPr>
        <w:pStyle w:val="normal1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Diante do exposto, contamos com o apoio dos nobres Pares para a aprovação da presente matéria.</w:t>
      </w:r>
    </w:p>
    <w:p w14:paraId="3F6E37D6" w14:textId="77777777" w:rsidR="00EA4880" w:rsidRDefault="00EA4880">
      <w:pPr>
        <w:pStyle w:val="normal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C0A1091" w14:textId="3209DCF4" w:rsidR="00E33FD9" w:rsidRDefault="00000000">
      <w:pPr>
        <w:pStyle w:val="normal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Palácio Graccho Cardoso, Aracaju, 03 de fevereiro de 2026.</w:t>
      </w:r>
    </w:p>
    <w:p w14:paraId="5795152A" w14:textId="77777777" w:rsidR="00EA4880" w:rsidRDefault="00EA4880">
      <w:pPr>
        <w:pStyle w:val="normal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92A5F45" w14:textId="77777777" w:rsidR="00E33FD9" w:rsidRDefault="00E33FD9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</w:p>
    <w:p w14:paraId="2995B6AE" w14:textId="77777777" w:rsidR="00E33FD9" w:rsidRDefault="00000000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9264" behindDoc="0" locked="0" layoutInCell="1" hidden="0" allowOverlap="1" wp14:anchorId="0D24CF8F" wp14:editId="583B4B22">
            <wp:simplePos x="0" y="0"/>
            <wp:positionH relativeFrom="column">
              <wp:posOffset>2095027</wp:posOffset>
            </wp:positionH>
            <wp:positionV relativeFrom="paragraph">
              <wp:posOffset>53355</wp:posOffset>
            </wp:positionV>
            <wp:extent cx="1208405" cy="619125"/>
            <wp:effectExtent l="0" t="0" r="0" b="0"/>
            <wp:wrapNone/>
            <wp:docPr id="4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8DF82A" w14:textId="77777777" w:rsidR="00E33FD9" w:rsidRDefault="00E33FD9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</w:p>
    <w:p w14:paraId="347663FC" w14:textId="77777777" w:rsidR="00E33FD9" w:rsidRDefault="00E33FD9">
      <w:pPr>
        <w:pStyle w:val="normal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CE696C9" w14:textId="77777777" w:rsidR="00E33FD9" w:rsidRDefault="00000000">
      <w:pPr>
        <w:pStyle w:val="normal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BRENO GARIBALDE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7533677F" w14:textId="77777777" w:rsidR="00E33FD9" w:rsidRDefault="00000000">
      <w:pPr>
        <w:pStyle w:val="normal1"/>
        <w:jc w:val="center"/>
      </w:pPr>
      <w:r>
        <w:rPr>
          <w:rFonts w:ascii="Times New Roman" w:eastAsia="Times New Roman" w:hAnsi="Times New Roman" w:cs="Times New Roman"/>
          <w:sz w:val="24"/>
          <w:szCs w:val="24"/>
        </w:rPr>
        <w:t>Vereador.</w:t>
      </w:r>
    </w:p>
    <w:p w14:paraId="5016621B" w14:textId="77777777" w:rsidR="00E33FD9" w:rsidRDefault="00E33FD9">
      <w:pPr>
        <w:pStyle w:val="normal1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E33FD9">
      <w:footerReference w:type="default" r:id="rId12"/>
      <w:type w:val="continuous"/>
      <w:pgSz w:w="11906" w:h="16838"/>
      <w:pgMar w:top="2835" w:right="1701" w:bottom="1418" w:left="1701" w:header="70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273C61" w14:textId="77777777" w:rsidR="007F7C5D" w:rsidRDefault="007F7C5D">
      <w:r>
        <w:separator/>
      </w:r>
    </w:p>
  </w:endnote>
  <w:endnote w:type="continuationSeparator" w:id="0">
    <w:p w14:paraId="598CF26C" w14:textId="77777777" w:rsidR="007F7C5D" w:rsidRDefault="007F7C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(W1)">
    <w:altName w:val="Arial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997B4D6A-BDDF-482A-9100-1859173E05B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D51E48D7-AA6E-4C1F-9529-055AB7B248E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7271F8C-2706-46B3-9659-F74C1D78E3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AB09F91-3B7F-4867-840F-2BDCC442A6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4CC6AA" w14:textId="77777777" w:rsidR="00E33FD9" w:rsidRDefault="00E33FD9">
    <w:pPr>
      <w:pStyle w:val="normal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4E78D" w14:textId="77777777" w:rsidR="00E33FD9" w:rsidRDefault="00E33FD9">
    <w:pPr>
      <w:pStyle w:val="normal1"/>
      <w:rPr>
        <w:rFonts w:ascii="Times New Roman" w:eastAsia="Times New Roman" w:hAnsi="Times New Roman" w:cs="Times New Roman"/>
        <w:sz w:val="24"/>
        <w:szCs w:val="24"/>
      </w:rPr>
    </w:pPr>
  </w:p>
  <w:p w14:paraId="45B3E769" w14:textId="77777777" w:rsidR="00E33FD9" w:rsidRDefault="00E33FD9">
    <w:pPr>
      <w:pStyle w:val="normal1"/>
      <w:jc w:val="center"/>
      <w:rPr>
        <w:rFonts w:ascii="Times New Roman" w:eastAsia="Times New Roman" w:hAnsi="Times New Roman" w:cs="Times New Roman"/>
        <w:sz w:val="24"/>
        <w:szCs w:val="24"/>
      </w:rPr>
    </w:pPr>
  </w:p>
  <w:p w14:paraId="21C18E9F" w14:textId="77777777" w:rsidR="00E33FD9" w:rsidRDefault="00E33FD9">
    <w:pPr>
      <w:pStyle w:val="normal1"/>
      <w:jc w:val="center"/>
      <w:rPr>
        <w:rFonts w:ascii="Times New Roman" w:eastAsia="Times New Roman" w:hAnsi="Times New Roman" w:cs="Times New Roman"/>
        <w:sz w:val="24"/>
        <w:szCs w:val="24"/>
      </w:rPr>
    </w:pPr>
  </w:p>
  <w:p w14:paraId="19893DAF" w14:textId="77777777" w:rsidR="00E33FD9" w:rsidRDefault="00E33FD9">
    <w:pPr>
      <w:pStyle w:val="normal1"/>
      <w:jc w:val="center"/>
      <w:rPr>
        <w:rFonts w:ascii="Times New Roman" w:eastAsia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428561" w14:textId="77777777" w:rsidR="007F7C5D" w:rsidRDefault="007F7C5D">
      <w:r>
        <w:separator/>
      </w:r>
    </w:p>
  </w:footnote>
  <w:footnote w:type="continuationSeparator" w:id="0">
    <w:p w14:paraId="29B2A2D5" w14:textId="77777777" w:rsidR="007F7C5D" w:rsidRDefault="007F7C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E738FD" w14:textId="77777777" w:rsidR="00E33FD9" w:rsidRDefault="00E33FD9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336029" w14:textId="77777777" w:rsidR="00E33FD9" w:rsidRDefault="00000000">
    <w:pPr>
      <w:pStyle w:val="normal1"/>
      <w:jc w:val="center"/>
      <w:rPr>
        <w:b/>
        <w:bCs/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E0D1D96" wp14:editId="5834FF46">
          <wp:simplePos x="0" y="0"/>
          <wp:positionH relativeFrom="column">
            <wp:posOffset>2272030</wp:posOffset>
          </wp:positionH>
          <wp:positionV relativeFrom="paragraph">
            <wp:posOffset>24765</wp:posOffset>
          </wp:positionV>
          <wp:extent cx="781050" cy="781050"/>
          <wp:effectExtent l="0" t="0" r="0" b="0"/>
          <wp:wrapSquare wrapText="bothSides" distT="0" distB="0" distL="114300" distR="114300"/>
          <wp:docPr id="3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0FCC661" w14:textId="77777777" w:rsidR="00E33FD9" w:rsidRDefault="00E33FD9">
    <w:pPr>
      <w:pStyle w:val="normal1"/>
      <w:jc w:val="center"/>
      <w:rPr>
        <w:b/>
        <w:bCs/>
        <w:color w:val="000000"/>
        <w:sz w:val="24"/>
        <w:szCs w:val="24"/>
      </w:rPr>
    </w:pPr>
  </w:p>
  <w:p w14:paraId="5C536E00" w14:textId="77777777" w:rsidR="00E33FD9" w:rsidRDefault="00E33FD9">
    <w:pPr>
      <w:pStyle w:val="normal1"/>
      <w:jc w:val="center"/>
      <w:rPr>
        <w:b/>
        <w:bCs/>
        <w:color w:val="000000"/>
        <w:sz w:val="24"/>
        <w:szCs w:val="24"/>
      </w:rPr>
    </w:pPr>
  </w:p>
  <w:p w14:paraId="07AFCC05" w14:textId="77777777" w:rsidR="00E33FD9" w:rsidRDefault="00E33FD9">
    <w:pPr>
      <w:pStyle w:val="normal1"/>
      <w:jc w:val="center"/>
      <w:rPr>
        <w:b/>
        <w:bCs/>
        <w:color w:val="000000"/>
        <w:sz w:val="24"/>
        <w:szCs w:val="24"/>
      </w:rPr>
    </w:pPr>
  </w:p>
  <w:p w14:paraId="7E32A35F" w14:textId="77777777" w:rsidR="00E33FD9" w:rsidRDefault="00E33FD9">
    <w:pPr>
      <w:pStyle w:val="normal1"/>
      <w:jc w:val="center"/>
      <w:rPr>
        <w:b/>
        <w:bCs/>
        <w:color w:val="000000"/>
        <w:sz w:val="24"/>
        <w:szCs w:val="24"/>
      </w:rPr>
    </w:pPr>
  </w:p>
  <w:p w14:paraId="77B25F41" w14:textId="77777777" w:rsidR="00E33FD9" w:rsidRDefault="00000000">
    <w:pPr>
      <w:pStyle w:val="normal1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ESTADO DE SERGIPE</w:t>
    </w:r>
  </w:p>
  <w:p w14:paraId="10FD489D" w14:textId="77777777" w:rsidR="00E33FD9" w:rsidRDefault="00000000">
    <w:pPr>
      <w:pStyle w:val="normal1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CÂMARA MUNICIPAL DE ARACAJU</w:t>
    </w:r>
  </w:p>
  <w:p w14:paraId="5FD75639" w14:textId="77777777" w:rsidR="00E33FD9" w:rsidRDefault="00E33FD9">
    <w:pPr>
      <w:pStyle w:val="normal1"/>
      <w:tabs>
        <w:tab w:val="center" w:pos="4419"/>
        <w:tab w:val="right" w:pos="88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47823" w14:textId="77777777" w:rsidR="00E33FD9" w:rsidRDefault="00000000">
    <w:pPr>
      <w:pStyle w:val="normal1"/>
      <w:jc w:val="center"/>
      <w:rPr>
        <w:b/>
        <w:bCs/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0431FCF8" wp14:editId="0CC27616">
          <wp:simplePos x="0" y="0"/>
          <wp:positionH relativeFrom="column">
            <wp:posOffset>2272030</wp:posOffset>
          </wp:positionH>
          <wp:positionV relativeFrom="paragraph">
            <wp:posOffset>24765</wp:posOffset>
          </wp:positionV>
          <wp:extent cx="781050" cy="781050"/>
          <wp:effectExtent l="0" t="0" r="0" b="0"/>
          <wp:wrapSquare wrapText="bothSides" distT="0" distB="0" distL="114300" distR="114300"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AA196A2" w14:textId="77777777" w:rsidR="00E33FD9" w:rsidRDefault="00E33FD9">
    <w:pPr>
      <w:pStyle w:val="normal1"/>
      <w:jc w:val="center"/>
      <w:rPr>
        <w:b/>
        <w:bCs/>
        <w:color w:val="000000"/>
        <w:sz w:val="24"/>
        <w:szCs w:val="24"/>
      </w:rPr>
    </w:pPr>
  </w:p>
  <w:p w14:paraId="441C7601" w14:textId="77777777" w:rsidR="00E33FD9" w:rsidRDefault="00E33FD9">
    <w:pPr>
      <w:pStyle w:val="normal1"/>
      <w:jc w:val="center"/>
      <w:rPr>
        <w:b/>
        <w:bCs/>
        <w:color w:val="000000"/>
        <w:sz w:val="24"/>
        <w:szCs w:val="24"/>
      </w:rPr>
    </w:pPr>
  </w:p>
  <w:p w14:paraId="12E7E433" w14:textId="77777777" w:rsidR="00E33FD9" w:rsidRDefault="00E33FD9">
    <w:pPr>
      <w:pStyle w:val="normal1"/>
      <w:jc w:val="center"/>
      <w:rPr>
        <w:b/>
        <w:bCs/>
        <w:color w:val="000000"/>
        <w:sz w:val="24"/>
        <w:szCs w:val="24"/>
      </w:rPr>
    </w:pPr>
  </w:p>
  <w:p w14:paraId="652A3837" w14:textId="77777777" w:rsidR="00E33FD9" w:rsidRDefault="00E33FD9">
    <w:pPr>
      <w:pStyle w:val="normal1"/>
      <w:jc w:val="center"/>
      <w:rPr>
        <w:b/>
        <w:bCs/>
        <w:color w:val="000000"/>
        <w:sz w:val="24"/>
        <w:szCs w:val="24"/>
      </w:rPr>
    </w:pPr>
  </w:p>
  <w:p w14:paraId="1FBB7EF5" w14:textId="77777777" w:rsidR="00E33FD9" w:rsidRDefault="00000000">
    <w:pPr>
      <w:pStyle w:val="normal1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ESTADO DE SERGIPE</w:t>
    </w:r>
  </w:p>
  <w:p w14:paraId="770242D6" w14:textId="77777777" w:rsidR="00E33FD9" w:rsidRDefault="00000000">
    <w:pPr>
      <w:pStyle w:val="normal1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CÂMARA MUNICIPAL DE ARACAJU</w:t>
    </w:r>
  </w:p>
  <w:p w14:paraId="2CCAF0AC" w14:textId="77777777" w:rsidR="00E33FD9" w:rsidRDefault="00E33FD9">
    <w:pPr>
      <w:pStyle w:val="normal1"/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FD9"/>
    <w:rsid w:val="00677793"/>
    <w:rsid w:val="007F7C5D"/>
    <w:rsid w:val="00A65BFC"/>
    <w:rsid w:val="00E33FD9"/>
    <w:rsid w:val="00EA4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74E3F"/>
  <w15:docId w15:val="{19020B67-1726-4DE4-9E42-2128B21CC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pBdr>
        <w:top w:val="nil"/>
        <w:left w:val="nil"/>
        <w:bottom w:val="nil"/>
        <w:right w:val="nil"/>
        <w:between w:val="nil"/>
      </w:pBdr>
      <w:tabs>
        <w:tab w:val="left" w:pos="1080"/>
      </w:tabs>
      <w:jc w:val="center"/>
      <w:outlineLvl w:val="0"/>
    </w:pPr>
    <w:rPr>
      <w:color w:val="000000"/>
      <w:u w:val="single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tabs>
        <w:tab w:val="left" w:pos="1800"/>
      </w:tabs>
      <w:spacing w:before="240" w:after="60"/>
      <w:outlineLvl w:val="1"/>
    </w:pPr>
    <w:rPr>
      <w:b/>
      <w:bCs/>
      <w:i/>
      <w:iCs/>
      <w:color w:val="000000"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tabs>
        <w:tab w:val="left" w:pos="720"/>
      </w:tabs>
      <w:spacing w:before="240" w:after="60"/>
      <w:ind w:left="720" w:hanging="432"/>
      <w:outlineLvl w:val="2"/>
    </w:pPr>
    <w:rPr>
      <w:b/>
      <w:bCs/>
      <w:color w:val="000000"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tabs>
        <w:tab w:val="left" w:pos="864"/>
      </w:tabs>
      <w:spacing w:before="240" w:after="60"/>
      <w:ind w:left="864" w:hanging="144"/>
      <w:outlineLvl w:val="3"/>
    </w:pPr>
    <w:rPr>
      <w:b/>
      <w:bCs/>
      <w:color w:val="000000"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tabs>
        <w:tab w:val="left" w:pos="1008"/>
      </w:tabs>
      <w:spacing w:before="240" w:after="60"/>
      <w:ind w:left="1008" w:hanging="432"/>
      <w:outlineLvl w:val="4"/>
    </w:pPr>
    <w:rPr>
      <w:b/>
      <w:bCs/>
      <w:i/>
      <w:iCs/>
      <w:color w:val="000000"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tabs>
        <w:tab w:val="left" w:pos="1152"/>
      </w:tabs>
      <w:spacing w:before="240" w:after="60"/>
      <w:ind w:left="1152" w:hanging="432"/>
      <w:outlineLvl w:val="5"/>
    </w:pPr>
    <w:rPr>
      <w:b/>
      <w:bCs/>
      <w:color w:val="000000"/>
      <w:sz w:val="22"/>
      <w:szCs w:val="22"/>
    </w:rPr>
  </w:style>
  <w:style w:type="paragraph" w:styleId="Ttulo7">
    <w:name w:val="heading 7"/>
    <w:basedOn w:val="normal1"/>
    <w:next w:val="normal1"/>
    <w:qFormat/>
    <w:pPr>
      <w:tabs>
        <w:tab w:val="left" w:pos="1296"/>
      </w:tabs>
      <w:suppressAutoHyphens/>
      <w:spacing w:before="240" w:after="60" w:line="1" w:lineRule="atLeast"/>
      <w:ind w:left="1296" w:hanging="288"/>
      <w:textAlignment w:val="top"/>
      <w:outlineLvl w:val="6"/>
    </w:pPr>
    <w:rPr>
      <w:rFonts w:ascii="Arial (W1)" w:hAnsi="Arial (W1)"/>
      <w:position w:val="-1"/>
      <w:sz w:val="24"/>
      <w:szCs w:val="24"/>
      <w:lang w:eastAsia="pt-BR" w:bidi="ar-SA"/>
    </w:rPr>
  </w:style>
  <w:style w:type="paragraph" w:styleId="Ttulo8">
    <w:name w:val="heading 8"/>
    <w:basedOn w:val="normal1"/>
    <w:next w:val="normal1"/>
    <w:qFormat/>
    <w:pPr>
      <w:tabs>
        <w:tab w:val="left" w:pos="1440"/>
      </w:tabs>
      <w:suppressAutoHyphens/>
      <w:spacing w:before="240" w:after="60" w:line="1" w:lineRule="atLeast"/>
      <w:ind w:left="1440" w:hanging="432"/>
      <w:textAlignment w:val="top"/>
      <w:outlineLvl w:val="7"/>
    </w:pPr>
    <w:rPr>
      <w:rFonts w:ascii="Arial (W1)" w:hAnsi="Arial (W1)"/>
      <w:i/>
      <w:iCs/>
      <w:position w:val="-1"/>
      <w:sz w:val="24"/>
      <w:szCs w:val="24"/>
      <w:lang w:eastAsia="pt-BR" w:bidi="ar-SA"/>
    </w:rPr>
  </w:style>
  <w:style w:type="paragraph" w:styleId="Ttulo9">
    <w:name w:val="heading 9"/>
    <w:basedOn w:val="normal1"/>
    <w:next w:val="normal1"/>
    <w:qFormat/>
    <w:pPr>
      <w:tabs>
        <w:tab w:val="left" w:pos="1584"/>
      </w:tabs>
      <w:suppressAutoHyphens/>
      <w:spacing w:before="240" w:after="60" w:line="1" w:lineRule="atLeast"/>
      <w:ind w:left="1584" w:hanging="144"/>
      <w:textAlignment w:val="top"/>
      <w:outlineLvl w:val="8"/>
    </w:pPr>
    <w:rPr>
      <w:position w:val="-1"/>
      <w:sz w:val="22"/>
      <w:szCs w:val="22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1"/>
    <w:uiPriority w:val="10"/>
    <w:qFormat/>
    <w:pPr>
      <w:suppressAutoHyphens/>
      <w:spacing w:line="1" w:lineRule="atLeast"/>
      <w:jc w:val="center"/>
      <w:textAlignment w:val="top"/>
      <w:outlineLvl w:val="0"/>
    </w:pPr>
    <w:rPr>
      <w:b/>
      <w:position w:val="-1"/>
      <w:lang w:eastAsia="pt-BR" w:bidi="ar-SA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rpodetextoChar">
    <w:name w:val="Corpo de texto Char"/>
    <w:qFormat/>
    <w:rPr>
      <w:rFonts w:ascii="Arial (W1)" w:hAnsi="Arial (W1)"/>
      <w:w w:val="100"/>
      <w:position w:val="0"/>
      <w:sz w:val="20"/>
      <w:effect w:val="none"/>
      <w:vertAlign w:val="baseline"/>
      <w:em w:val="none"/>
    </w:rPr>
  </w:style>
  <w:style w:type="character" w:customStyle="1" w:styleId="st1">
    <w:name w:val="st1"/>
    <w:basedOn w:val="Fontepargpadro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TtuloChar">
    <w:name w:val="Título Char"/>
    <w:qFormat/>
    <w:rPr>
      <w:rFonts w:ascii="Arial" w:hAnsi="Arial"/>
      <w:b/>
      <w:w w:val="100"/>
      <w:position w:val="0"/>
      <w:sz w:val="20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Segoe UI" w:hAnsi="Segoe UI" w:cs="Segoe UI"/>
      <w:w w:val="100"/>
      <w:position w:val="0"/>
      <w:sz w:val="18"/>
      <w:szCs w:val="18"/>
      <w:effect w:val="none"/>
      <w:vertAlign w:val="baseline"/>
      <w:em w:val="none"/>
    </w:rPr>
  </w:style>
  <w:style w:type="paragraph" w:styleId="Corpodetexto">
    <w:name w:val="Body Text"/>
    <w:basedOn w:val="normal1"/>
    <w:qFormat/>
    <w:pPr>
      <w:suppressAutoHyphens/>
      <w:spacing w:after="120" w:line="1" w:lineRule="atLeast"/>
      <w:textAlignment w:val="top"/>
      <w:outlineLvl w:val="0"/>
    </w:pPr>
    <w:rPr>
      <w:rFonts w:ascii="Arial (W1)" w:hAnsi="Arial (W1)"/>
      <w:vertAlign w:val="subscript"/>
      <w:lang w:eastAsia="pt-BR" w:bidi="ar-SA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normal1">
    <w:name w:val="normal1"/>
    <w:qFormat/>
    <w:rPr>
      <w:lang w:eastAsia="zh-CN" w:bidi="hi-IN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1"/>
    <w:qFormat/>
    <w:pPr>
      <w:tabs>
        <w:tab w:val="center" w:pos="4419"/>
        <w:tab w:val="right" w:pos="8838"/>
      </w:tabs>
      <w:suppressAutoHyphens/>
      <w:spacing w:line="1" w:lineRule="atLeast"/>
      <w:textAlignment w:val="top"/>
      <w:outlineLvl w:val="0"/>
    </w:pPr>
    <w:rPr>
      <w:rFonts w:ascii="Arial (W1)" w:hAnsi="Arial (W1)"/>
      <w:position w:val="-1"/>
      <w:lang w:eastAsia="pt-BR" w:bidi="ar-SA"/>
    </w:rPr>
  </w:style>
  <w:style w:type="paragraph" w:styleId="Rodap">
    <w:name w:val="footer"/>
    <w:basedOn w:val="normal1"/>
    <w:qFormat/>
    <w:pPr>
      <w:tabs>
        <w:tab w:val="center" w:pos="4419"/>
        <w:tab w:val="right" w:pos="8838"/>
      </w:tabs>
      <w:suppressAutoHyphens/>
      <w:spacing w:line="1" w:lineRule="atLeast"/>
      <w:textAlignment w:val="top"/>
      <w:outlineLvl w:val="0"/>
    </w:pPr>
    <w:rPr>
      <w:rFonts w:ascii="Arial (W1)" w:hAnsi="Arial (W1)"/>
      <w:position w:val="-1"/>
      <w:lang w:eastAsia="pt-BR" w:bidi="ar-SA"/>
    </w:rPr>
  </w:style>
  <w:style w:type="paragraph" w:styleId="Recuodecorpodetexto">
    <w:name w:val="Body Text Indent"/>
    <w:basedOn w:val="normal1"/>
    <w:qFormat/>
    <w:pPr>
      <w:suppressAutoHyphens/>
      <w:spacing w:line="1" w:lineRule="atLeast"/>
      <w:ind w:left="4248"/>
      <w:textAlignment w:val="top"/>
      <w:outlineLvl w:val="0"/>
    </w:pPr>
    <w:rPr>
      <w:rFonts w:ascii="Arial (W1)" w:hAnsi="Arial (W1)"/>
      <w:position w:val="-1"/>
      <w:lang w:eastAsia="pt-BR" w:bidi="ar-SA"/>
    </w:rPr>
  </w:style>
  <w:style w:type="paragraph" w:styleId="Textodebalo">
    <w:name w:val="Balloon Text"/>
    <w:basedOn w:val="normal1"/>
    <w:qFormat/>
    <w:pPr>
      <w:suppressAutoHyphens/>
      <w:spacing w:line="1" w:lineRule="atLeast"/>
      <w:textAlignment w:val="top"/>
      <w:outlineLvl w:val="0"/>
    </w:pPr>
    <w:rPr>
      <w:rFonts w:ascii="Segoe UI" w:hAnsi="Segoe UI" w:cs="Segoe UI"/>
      <w:position w:val="-1"/>
      <w:sz w:val="18"/>
      <w:szCs w:val="18"/>
      <w:lang w:eastAsia="pt-BR" w:bidi="ar-SA"/>
    </w:rPr>
  </w:style>
  <w:style w:type="paragraph" w:styleId="NormalWeb">
    <w:name w:val="Normal (Web)"/>
    <w:basedOn w:val="normal1"/>
    <w:qFormat/>
    <w:pPr>
      <w:suppressAutoHyphens/>
      <w:spacing w:beforeAutospacing="1" w:afterAutospacing="1" w:line="1" w:lineRule="atLeast"/>
      <w:textAlignment w:val="top"/>
      <w:outlineLvl w:val="0"/>
    </w:pPr>
    <w:rPr>
      <w:rFonts w:ascii="Times New Roman" w:hAnsi="Times New Roman"/>
      <w:position w:val="-1"/>
      <w:sz w:val="24"/>
      <w:szCs w:val="24"/>
      <w:lang w:eastAsia="pt-BR" w:bidi="ar-SA"/>
    </w:r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BnLur7aYYqiz5H+5HKcW/PjNBw==">CgMxLjA4AHIhMTU4dWJGRWRDRjBkVWJWTS04eUIwQlRTR0s3MkFWRXhI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1021</Words>
  <Characters>5517</Characters>
  <Application>Microsoft Office Word</Application>
  <DocSecurity>0</DocSecurity>
  <Lines>45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DDO</dc:creator>
  <cp:lastModifiedBy>Salvelina Moraes dos Santos</cp:lastModifiedBy>
  <cp:revision>2</cp:revision>
  <dcterms:created xsi:type="dcterms:W3CDTF">2026-02-26T16:49:00Z</dcterms:created>
  <dcterms:modified xsi:type="dcterms:W3CDTF">2026-02-26T16:49:00Z</dcterms:modified>
</cp:coreProperties>
</file>