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5152A" w14:textId="77777777" w:rsidR="00EE1A25" w:rsidRPr="00EE1A25" w:rsidRDefault="00EE1A25">
      <w:pPr>
        <w:jc w:val="center"/>
        <w:rPr>
          <w:rFonts w:cs="Times New Roman"/>
          <w:b/>
          <w:sz w:val="28"/>
          <w:lang w:val="pt-BR"/>
        </w:rPr>
      </w:pPr>
    </w:p>
    <w:p w14:paraId="3ADD3DBF" w14:textId="346EAC4F" w:rsidR="00D655DD" w:rsidRPr="00EE1A25" w:rsidRDefault="00AF4142">
      <w:pPr>
        <w:jc w:val="center"/>
        <w:rPr>
          <w:rFonts w:cs="Times New Roman"/>
          <w:b/>
          <w:szCs w:val="24"/>
          <w:lang w:val="pt-BR"/>
        </w:rPr>
      </w:pPr>
      <w:r w:rsidRPr="00EE1A25">
        <w:rPr>
          <w:rFonts w:cs="Times New Roman"/>
          <w:b/>
          <w:szCs w:val="24"/>
          <w:lang w:val="pt-BR"/>
        </w:rPr>
        <w:t>PROJETO DE LEI Nº ____/2026</w:t>
      </w:r>
    </w:p>
    <w:p w14:paraId="0609F92E" w14:textId="351E480A" w:rsidR="001B71F4" w:rsidRPr="00EE1A25" w:rsidRDefault="001B71F4">
      <w:pPr>
        <w:jc w:val="center"/>
        <w:rPr>
          <w:rFonts w:cs="Times New Roman"/>
          <w:szCs w:val="24"/>
          <w:lang w:val="pt-BR"/>
        </w:rPr>
      </w:pPr>
      <w:r w:rsidRPr="00EE1A25">
        <w:rPr>
          <w:rFonts w:cs="Times New Roman"/>
          <w:b/>
          <w:szCs w:val="24"/>
          <w:lang w:val="pt-BR"/>
        </w:rPr>
        <w:t>(Autor: Vereador Nitinho Vitale)</w:t>
      </w:r>
    </w:p>
    <w:p w14:paraId="29AF4347" w14:textId="77777777" w:rsidR="001B71F4" w:rsidRPr="00EE1A25" w:rsidRDefault="001B71F4" w:rsidP="001B71F4">
      <w:pPr>
        <w:ind w:left="3402"/>
        <w:jc w:val="both"/>
        <w:rPr>
          <w:rFonts w:cs="Times New Roman"/>
          <w:b/>
          <w:szCs w:val="24"/>
          <w:lang w:val="pt-BR"/>
        </w:rPr>
      </w:pPr>
    </w:p>
    <w:p w14:paraId="5496944A" w14:textId="5D818A2D" w:rsidR="00D655DD" w:rsidRPr="00EE1A25" w:rsidRDefault="001B71F4" w:rsidP="001B71F4">
      <w:pPr>
        <w:ind w:left="3402"/>
        <w:jc w:val="both"/>
        <w:rPr>
          <w:rFonts w:cs="Times New Roman"/>
          <w:szCs w:val="24"/>
          <w:lang w:val="pt-BR"/>
        </w:rPr>
      </w:pPr>
      <w:r w:rsidRPr="00EE1A25">
        <w:rPr>
          <w:rFonts w:cs="Times New Roman"/>
          <w:b/>
          <w:szCs w:val="24"/>
          <w:lang w:val="pt-BR"/>
        </w:rPr>
        <w:t>DISPÕE SOBRE DIREITOS E GARANTIAS DO USUÁRIO DOS SERVIÇOS PÚBLICOS DE ABASTECIMENTO DE ÁGUA E ESGOTAMENTO SANITÁRIO NO MUNICÍPIO DE ARACAJU</w:t>
      </w:r>
      <w:r w:rsidR="00007D26" w:rsidRPr="00EE1A25">
        <w:rPr>
          <w:rFonts w:cs="Times New Roman"/>
          <w:b/>
          <w:szCs w:val="24"/>
          <w:lang w:val="pt-BR"/>
        </w:rPr>
        <w:t xml:space="preserve"> </w:t>
      </w:r>
      <w:r w:rsidRPr="00EE1A25">
        <w:rPr>
          <w:rFonts w:cs="Times New Roman"/>
          <w:b/>
          <w:szCs w:val="24"/>
          <w:lang w:val="pt-BR"/>
        </w:rPr>
        <w:t>E DÁ OUTRAS PROVIDÊNCIAS.</w:t>
      </w:r>
    </w:p>
    <w:p w14:paraId="2FC3B4CC" w14:textId="77777777" w:rsidR="00D655DD" w:rsidRPr="00EE1A25" w:rsidRDefault="00D655DD">
      <w:pPr>
        <w:rPr>
          <w:rFonts w:cs="Times New Roman"/>
          <w:lang w:val="pt-BR"/>
        </w:rPr>
      </w:pPr>
    </w:p>
    <w:p w14:paraId="01FBCEC1" w14:textId="77777777" w:rsidR="00D655DD" w:rsidRPr="00EE1A25" w:rsidRDefault="00AF4142" w:rsidP="001B71F4">
      <w:pPr>
        <w:rPr>
          <w:rFonts w:cs="Times New Roman"/>
          <w:lang w:val="pt-BR"/>
        </w:rPr>
      </w:pPr>
      <w:r w:rsidRPr="00EE1A25">
        <w:rPr>
          <w:rFonts w:cs="Times New Roman"/>
          <w:b/>
          <w:lang w:val="pt-BR"/>
        </w:rPr>
        <w:t>A CÂMARA MUNICIPAL DE ARACAJU decreta:</w:t>
      </w:r>
    </w:p>
    <w:p w14:paraId="34377105" w14:textId="77777777" w:rsidR="00D655DD" w:rsidRPr="00EE1A25" w:rsidRDefault="00AF4142">
      <w:pPr>
        <w:spacing w:before="240"/>
        <w:rPr>
          <w:rFonts w:cs="Times New Roman"/>
          <w:lang w:val="pt-BR"/>
        </w:rPr>
      </w:pPr>
      <w:r w:rsidRPr="00EE1A25">
        <w:rPr>
          <w:rFonts w:cs="Times New Roman"/>
          <w:b/>
          <w:lang w:val="pt-BR"/>
        </w:rPr>
        <w:t>CAPÍTULO I – DISPOSIÇÕES PRELIMINARES</w:t>
      </w:r>
    </w:p>
    <w:p w14:paraId="4DF79B6B" w14:textId="14565A43" w:rsidR="00D655DD" w:rsidRPr="00EE1A25" w:rsidRDefault="00AF4142">
      <w:pPr>
        <w:ind w:firstLine="567"/>
        <w:jc w:val="both"/>
        <w:rPr>
          <w:rFonts w:cs="Times New Roman"/>
          <w:lang w:val="pt-BR"/>
        </w:rPr>
      </w:pPr>
      <w:r w:rsidRPr="00EE1A25">
        <w:rPr>
          <w:rFonts w:cs="Times New Roman"/>
          <w:lang w:val="pt-BR"/>
        </w:rPr>
        <w:t>Art. 1º Esta Lei estabelece direitos e garantias mínimas do usuário/consumidor e padrões mínimos de atendimento e transparência na prestação dos serviços públicos de abastecimento de água e de esgotamento sanitário no Município de Aracaju, prestados por concessionária, permissionária ou prestadora delegada, sem prejuízo da regulação competente e do contrato.</w:t>
      </w:r>
    </w:p>
    <w:p w14:paraId="2F12371B" w14:textId="77777777" w:rsidR="00D655DD" w:rsidRPr="00EE1A25" w:rsidRDefault="00AF4142">
      <w:pPr>
        <w:ind w:firstLine="567"/>
        <w:jc w:val="both"/>
        <w:rPr>
          <w:rFonts w:cs="Times New Roman"/>
          <w:lang w:val="pt-BR"/>
        </w:rPr>
      </w:pPr>
      <w:r w:rsidRPr="00EE1A25">
        <w:rPr>
          <w:rFonts w:cs="Times New Roman"/>
          <w:lang w:val="pt-BR"/>
        </w:rPr>
        <w:t>Art. 2º A aplicação desta Lei observará, de forma integrada e complementar, a Constituição Federal, o Código de Defesa do Consumidor, a Lei Federal nº 8.987/1995, a Lei Federal nº 11.445/2007, as normas de referência da Agência Nacional de Águas e Saneamento Básico – ANA, e as resoluções e determinações da entidade reguladora competente, sem substituí-las.</w:t>
      </w:r>
    </w:p>
    <w:p w14:paraId="68D8DB7A" w14:textId="77777777" w:rsidR="00D655DD" w:rsidRPr="00EE1A25" w:rsidRDefault="00AF4142">
      <w:pPr>
        <w:ind w:firstLine="567"/>
        <w:jc w:val="both"/>
        <w:rPr>
          <w:rFonts w:cs="Times New Roman"/>
          <w:lang w:val="pt-BR"/>
        </w:rPr>
      </w:pPr>
      <w:r w:rsidRPr="00EE1A25">
        <w:rPr>
          <w:rFonts w:cs="Times New Roman"/>
          <w:lang w:val="pt-BR"/>
        </w:rPr>
        <w:t>Art. 3º Para fins desta Lei, considera-se:</w:t>
      </w:r>
    </w:p>
    <w:p w14:paraId="6268BAE6" w14:textId="77777777" w:rsidR="00D655DD" w:rsidRPr="00EE1A25" w:rsidRDefault="00AF4142">
      <w:pPr>
        <w:ind w:left="567"/>
        <w:jc w:val="both"/>
        <w:rPr>
          <w:rFonts w:cs="Times New Roman"/>
          <w:lang w:val="pt-BR"/>
        </w:rPr>
      </w:pPr>
      <w:r w:rsidRPr="00EE1A25">
        <w:rPr>
          <w:rFonts w:cs="Times New Roman"/>
          <w:lang w:val="pt-BR"/>
        </w:rPr>
        <w:t xml:space="preserve">I – </w:t>
      </w:r>
      <w:proofErr w:type="gramStart"/>
      <w:r w:rsidRPr="00EE1A25">
        <w:rPr>
          <w:rFonts w:cs="Times New Roman"/>
          <w:lang w:val="pt-BR"/>
        </w:rPr>
        <w:t>usuário/consumidor</w:t>
      </w:r>
      <w:proofErr w:type="gramEnd"/>
      <w:r w:rsidRPr="00EE1A25">
        <w:rPr>
          <w:rFonts w:cs="Times New Roman"/>
          <w:lang w:val="pt-BR"/>
        </w:rPr>
        <w:t>: pessoa física ou jurídica atendida pelos serviços;</w:t>
      </w:r>
    </w:p>
    <w:p w14:paraId="66D6F2C1" w14:textId="77777777" w:rsidR="00D655DD" w:rsidRPr="00EE1A25" w:rsidRDefault="00AF4142">
      <w:pPr>
        <w:ind w:left="567"/>
        <w:jc w:val="both"/>
        <w:rPr>
          <w:rFonts w:cs="Times New Roman"/>
          <w:lang w:val="pt-BR"/>
        </w:rPr>
      </w:pPr>
      <w:r w:rsidRPr="00EE1A25">
        <w:rPr>
          <w:rFonts w:cs="Times New Roman"/>
          <w:lang w:val="pt-BR"/>
        </w:rPr>
        <w:t xml:space="preserve">II – </w:t>
      </w:r>
      <w:proofErr w:type="gramStart"/>
      <w:r w:rsidRPr="00EE1A25">
        <w:rPr>
          <w:rFonts w:cs="Times New Roman"/>
          <w:lang w:val="pt-BR"/>
        </w:rPr>
        <w:t>fatura</w:t>
      </w:r>
      <w:proofErr w:type="gramEnd"/>
      <w:r w:rsidRPr="00EE1A25">
        <w:rPr>
          <w:rFonts w:cs="Times New Roman"/>
          <w:lang w:val="pt-BR"/>
        </w:rPr>
        <w:t xml:space="preserve"> contestada: fatura objeto de reclamação formalizada junto à prestadora, à entidade reguladora, ao PROCON ou a outro canal oficial com protocolo;</w:t>
      </w:r>
    </w:p>
    <w:p w14:paraId="5F2BB0DA" w14:textId="77777777" w:rsidR="00D655DD" w:rsidRPr="00EE1A25" w:rsidRDefault="00AF4142">
      <w:pPr>
        <w:ind w:left="567"/>
        <w:jc w:val="both"/>
        <w:rPr>
          <w:rFonts w:cs="Times New Roman"/>
          <w:lang w:val="pt-BR"/>
        </w:rPr>
      </w:pPr>
      <w:r w:rsidRPr="00EE1A25">
        <w:rPr>
          <w:rFonts w:cs="Times New Roman"/>
          <w:lang w:val="pt-BR"/>
        </w:rPr>
        <w:t>III – faturamento estimado: cobrança sem leitura efetiva do hidrômetro;</w:t>
      </w:r>
    </w:p>
    <w:p w14:paraId="2A2C73C3" w14:textId="77777777" w:rsidR="00D655DD" w:rsidRPr="00EE1A25" w:rsidRDefault="00AF4142">
      <w:pPr>
        <w:ind w:left="567"/>
        <w:jc w:val="both"/>
        <w:rPr>
          <w:rFonts w:cs="Times New Roman"/>
          <w:lang w:val="pt-BR"/>
        </w:rPr>
      </w:pPr>
      <w:r w:rsidRPr="00EE1A25">
        <w:rPr>
          <w:rFonts w:cs="Times New Roman"/>
          <w:lang w:val="pt-BR"/>
        </w:rPr>
        <w:t xml:space="preserve">IV – </w:t>
      </w:r>
      <w:proofErr w:type="gramStart"/>
      <w:r w:rsidRPr="00EE1A25">
        <w:rPr>
          <w:rFonts w:cs="Times New Roman"/>
          <w:lang w:val="pt-BR"/>
        </w:rPr>
        <w:t>consumo</w:t>
      </w:r>
      <w:proofErr w:type="gramEnd"/>
      <w:r w:rsidRPr="00EE1A25">
        <w:rPr>
          <w:rFonts w:cs="Times New Roman"/>
          <w:lang w:val="pt-BR"/>
        </w:rPr>
        <w:t xml:space="preserve"> atípico: consumo do ciclo que exceda em 100% (cem por cento) a média dos últimos 12 (doze) ciclos faturados disponíveis, ou apresente variação incompatível com o uso do imóvel, a ocupação informada e o histórico;</w:t>
      </w:r>
    </w:p>
    <w:p w14:paraId="0661CE25" w14:textId="77777777" w:rsidR="00D655DD" w:rsidRPr="00EE1A25" w:rsidRDefault="00AF4142">
      <w:pPr>
        <w:ind w:left="567"/>
        <w:jc w:val="both"/>
        <w:rPr>
          <w:rFonts w:cs="Times New Roman"/>
          <w:lang w:val="pt-BR"/>
        </w:rPr>
      </w:pPr>
      <w:r w:rsidRPr="00EE1A25">
        <w:rPr>
          <w:rFonts w:cs="Times New Roman"/>
          <w:lang w:val="pt-BR"/>
        </w:rPr>
        <w:t xml:space="preserve">V – </w:t>
      </w:r>
      <w:proofErr w:type="gramStart"/>
      <w:r w:rsidRPr="00EE1A25">
        <w:rPr>
          <w:rFonts w:cs="Times New Roman"/>
          <w:lang w:val="pt-BR"/>
        </w:rPr>
        <w:t>vazamento</w:t>
      </w:r>
      <w:proofErr w:type="gramEnd"/>
      <w:r w:rsidRPr="00EE1A25">
        <w:rPr>
          <w:rFonts w:cs="Times New Roman"/>
          <w:lang w:val="pt-BR"/>
        </w:rPr>
        <w:t xml:space="preserve"> oculto: vazamento não aparente na instalação interna, cuja identificação dependa de verificação técnica;</w:t>
      </w:r>
    </w:p>
    <w:p w14:paraId="712E0DCC" w14:textId="77777777" w:rsidR="00D655DD" w:rsidRPr="00EE1A25" w:rsidRDefault="00AF4142">
      <w:pPr>
        <w:ind w:left="567"/>
        <w:jc w:val="both"/>
        <w:rPr>
          <w:rFonts w:cs="Times New Roman"/>
          <w:lang w:val="pt-BR"/>
        </w:rPr>
      </w:pPr>
      <w:r w:rsidRPr="00EE1A25">
        <w:rPr>
          <w:rFonts w:cs="Times New Roman"/>
          <w:lang w:val="pt-BR"/>
        </w:rPr>
        <w:lastRenderedPageBreak/>
        <w:t xml:space="preserve">VI – </w:t>
      </w:r>
      <w:proofErr w:type="gramStart"/>
      <w:r w:rsidRPr="00EE1A25">
        <w:rPr>
          <w:rFonts w:cs="Times New Roman"/>
          <w:lang w:val="pt-BR"/>
        </w:rPr>
        <w:t>interrupção</w:t>
      </w:r>
      <w:proofErr w:type="gramEnd"/>
      <w:r w:rsidRPr="00EE1A25">
        <w:rPr>
          <w:rFonts w:cs="Times New Roman"/>
          <w:lang w:val="pt-BR"/>
        </w:rPr>
        <w:t xml:space="preserve"> programada: interrupção previamente comunicada por motivo previsível;</w:t>
      </w:r>
    </w:p>
    <w:p w14:paraId="0ED43955" w14:textId="77777777" w:rsidR="00D655DD" w:rsidRPr="00EE1A25" w:rsidRDefault="00AF4142">
      <w:pPr>
        <w:ind w:left="567"/>
        <w:jc w:val="both"/>
        <w:rPr>
          <w:rFonts w:cs="Times New Roman"/>
          <w:lang w:val="pt-BR"/>
        </w:rPr>
      </w:pPr>
      <w:r w:rsidRPr="00EE1A25">
        <w:rPr>
          <w:rFonts w:cs="Times New Roman"/>
          <w:lang w:val="pt-BR"/>
        </w:rPr>
        <w:t>VII – interrupção não programada: interrupção emergencial por falha, pane, rompimento, evento imprevisto ou força maior;</w:t>
      </w:r>
    </w:p>
    <w:p w14:paraId="7EA82CD8" w14:textId="77777777" w:rsidR="00D655DD" w:rsidRPr="00EE1A25" w:rsidRDefault="00AF4142">
      <w:pPr>
        <w:ind w:left="567"/>
        <w:jc w:val="both"/>
        <w:rPr>
          <w:rFonts w:cs="Times New Roman"/>
          <w:lang w:val="pt-BR"/>
        </w:rPr>
      </w:pPr>
      <w:r w:rsidRPr="00EE1A25">
        <w:rPr>
          <w:rFonts w:cs="Times New Roman"/>
          <w:lang w:val="pt-BR"/>
        </w:rPr>
        <w:t>VIII – desabastecimento relevante: ausência de fornecimento por período contínuo superior a 12 (doze) horas, ou intermitência que inviabilize o uso regular do serviço essencial, comprovável por registros operacionais, protocolos e verificação técnica;</w:t>
      </w:r>
    </w:p>
    <w:p w14:paraId="14CD58CD" w14:textId="77777777" w:rsidR="00D655DD" w:rsidRPr="00EE1A25" w:rsidRDefault="00AF4142">
      <w:pPr>
        <w:ind w:left="567"/>
        <w:jc w:val="both"/>
        <w:rPr>
          <w:rFonts w:cs="Times New Roman"/>
          <w:lang w:val="pt-BR"/>
        </w:rPr>
      </w:pPr>
      <w:r w:rsidRPr="00EE1A25">
        <w:rPr>
          <w:rFonts w:cs="Times New Roman"/>
          <w:lang w:val="pt-BR"/>
        </w:rPr>
        <w:t xml:space="preserve">IX – </w:t>
      </w:r>
      <w:proofErr w:type="gramStart"/>
      <w:r w:rsidRPr="00EE1A25">
        <w:rPr>
          <w:rFonts w:cs="Times New Roman"/>
          <w:lang w:val="pt-BR"/>
        </w:rPr>
        <w:t>crédito</w:t>
      </w:r>
      <w:proofErr w:type="gramEnd"/>
      <w:r w:rsidRPr="00EE1A25">
        <w:rPr>
          <w:rFonts w:cs="Times New Roman"/>
          <w:lang w:val="pt-BR"/>
        </w:rPr>
        <w:t xml:space="preserve"> compensatório: abatimento automático na fatura, com rubrica específica, vinculado a falha de continuidade na área afetada.</w:t>
      </w:r>
    </w:p>
    <w:p w14:paraId="24D46D8B" w14:textId="77777777" w:rsidR="00D655DD" w:rsidRPr="00EE1A25" w:rsidRDefault="00AF4142">
      <w:pPr>
        <w:ind w:firstLine="567"/>
        <w:jc w:val="both"/>
        <w:rPr>
          <w:rFonts w:cs="Times New Roman"/>
          <w:lang w:val="pt-BR"/>
        </w:rPr>
      </w:pPr>
      <w:r w:rsidRPr="00EE1A25">
        <w:rPr>
          <w:rFonts w:cs="Times New Roman"/>
          <w:lang w:val="pt-BR"/>
        </w:rPr>
        <w:t>Art. 4º Os direitos previstos nesta Lei constituem padrão mínimo municipal de proteção ao usuário, devendo ser interpretados conforme os princípios da continuidade, transparência, modicidade, eficiência, boa-fé objetiva e prevenção de abusos, sem instituir tarifa nem alterar, por si só, o equilíbrio econômico-financeiro contratual, cuja recomposição, quando cabível, seguirá a via regulatória própria.</w:t>
      </w:r>
    </w:p>
    <w:p w14:paraId="047B2266" w14:textId="77777777" w:rsidR="00D655DD" w:rsidRPr="00EE1A25" w:rsidRDefault="00AF4142">
      <w:pPr>
        <w:spacing w:before="240"/>
        <w:rPr>
          <w:rFonts w:cs="Times New Roman"/>
          <w:lang w:val="pt-BR"/>
        </w:rPr>
      </w:pPr>
      <w:r w:rsidRPr="00EE1A25">
        <w:rPr>
          <w:rFonts w:cs="Times New Roman"/>
          <w:b/>
          <w:lang w:val="pt-BR"/>
        </w:rPr>
        <w:t>CAPÍTULO II – TRANSPARÊNCIA, INFORMAÇÃO E ATENDIMENTO</w:t>
      </w:r>
    </w:p>
    <w:p w14:paraId="02E35FAD" w14:textId="77777777" w:rsidR="00D655DD" w:rsidRPr="00EE1A25" w:rsidRDefault="00AF4142">
      <w:pPr>
        <w:ind w:firstLine="567"/>
        <w:jc w:val="both"/>
        <w:rPr>
          <w:rFonts w:cs="Times New Roman"/>
          <w:lang w:val="pt-BR"/>
        </w:rPr>
      </w:pPr>
      <w:r w:rsidRPr="00EE1A25">
        <w:rPr>
          <w:rFonts w:cs="Times New Roman"/>
          <w:lang w:val="pt-BR"/>
        </w:rPr>
        <w:t>Art. 5º A prestadora deverá assegurar atendimento adequado, com:</w:t>
      </w:r>
    </w:p>
    <w:p w14:paraId="67DA214C" w14:textId="77777777" w:rsidR="00D655DD" w:rsidRPr="00EE1A25" w:rsidRDefault="00AF4142">
      <w:pPr>
        <w:ind w:left="567"/>
        <w:jc w:val="both"/>
        <w:rPr>
          <w:rFonts w:cs="Times New Roman"/>
          <w:lang w:val="pt-BR"/>
        </w:rPr>
      </w:pPr>
      <w:r w:rsidRPr="00EE1A25">
        <w:rPr>
          <w:rFonts w:cs="Times New Roman"/>
          <w:lang w:val="pt-BR"/>
        </w:rPr>
        <w:t xml:space="preserve">I – </w:t>
      </w:r>
      <w:proofErr w:type="gramStart"/>
      <w:r w:rsidRPr="00EE1A25">
        <w:rPr>
          <w:rFonts w:cs="Times New Roman"/>
          <w:lang w:val="pt-BR"/>
        </w:rPr>
        <w:t>canais</w:t>
      </w:r>
      <w:proofErr w:type="gramEnd"/>
      <w:r w:rsidRPr="00EE1A25">
        <w:rPr>
          <w:rFonts w:cs="Times New Roman"/>
          <w:lang w:val="pt-BR"/>
        </w:rPr>
        <w:t xml:space="preserve"> acessíveis (presencial, telefônico e digital), com registro de protocolo;</w:t>
      </w:r>
    </w:p>
    <w:p w14:paraId="363C5C52" w14:textId="77777777" w:rsidR="00D655DD" w:rsidRPr="00EE1A25" w:rsidRDefault="00AF4142">
      <w:pPr>
        <w:ind w:left="567"/>
        <w:jc w:val="both"/>
        <w:rPr>
          <w:rFonts w:cs="Times New Roman"/>
          <w:lang w:val="pt-BR"/>
        </w:rPr>
      </w:pPr>
      <w:r w:rsidRPr="00EE1A25">
        <w:rPr>
          <w:rFonts w:cs="Times New Roman"/>
          <w:lang w:val="pt-BR"/>
        </w:rPr>
        <w:t xml:space="preserve">II – </w:t>
      </w:r>
      <w:proofErr w:type="gramStart"/>
      <w:r w:rsidRPr="00EE1A25">
        <w:rPr>
          <w:rFonts w:cs="Times New Roman"/>
          <w:lang w:val="pt-BR"/>
        </w:rPr>
        <w:t>comprovante</w:t>
      </w:r>
      <w:proofErr w:type="gramEnd"/>
      <w:r w:rsidRPr="00EE1A25">
        <w:rPr>
          <w:rFonts w:cs="Times New Roman"/>
          <w:lang w:val="pt-BR"/>
        </w:rPr>
        <w:t xml:space="preserve"> do pedido ou reclamação, contendo data, número, resumo e prazos;</w:t>
      </w:r>
    </w:p>
    <w:p w14:paraId="44AE7BFF" w14:textId="77777777" w:rsidR="00D655DD" w:rsidRPr="00EE1A25" w:rsidRDefault="00AF4142">
      <w:pPr>
        <w:ind w:left="567"/>
        <w:jc w:val="both"/>
        <w:rPr>
          <w:rFonts w:cs="Times New Roman"/>
          <w:lang w:val="pt-BR"/>
        </w:rPr>
      </w:pPr>
      <w:r w:rsidRPr="00EE1A25">
        <w:rPr>
          <w:rFonts w:cs="Times New Roman"/>
          <w:lang w:val="pt-BR"/>
        </w:rPr>
        <w:t>III – resposta conclusiva em até 10 (dez) dias úteis, admitida uma prorrogação por igual prazo mediante justificativa técnica expressa ao usuário.</w:t>
      </w:r>
    </w:p>
    <w:p w14:paraId="74D7C70A" w14:textId="77777777" w:rsidR="00D655DD" w:rsidRPr="00EE1A25" w:rsidRDefault="00AF4142">
      <w:pPr>
        <w:ind w:firstLine="567"/>
        <w:jc w:val="both"/>
        <w:rPr>
          <w:rFonts w:cs="Times New Roman"/>
          <w:lang w:val="pt-BR"/>
        </w:rPr>
      </w:pPr>
      <w:r w:rsidRPr="00EE1A25">
        <w:rPr>
          <w:rFonts w:cs="Times New Roman"/>
          <w:lang w:val="pt-BR"/>
        </w:rPr>
        <w:t>Art. 6º As faturas deverão conter, de forma clara: leitura anterior e atual, consumo do período, histórico de no mínimo 12 (doze) meses quando disponível, indicação expressa de faturamento estimado (quando ocorrer), discriminação de tarifas, faixas e encargos, e orientações objetivas de contestação e revisão.</w:t>
      </w:r>
    </w:p>
    <w:p w14:paraId="14FBCFEF" w14:textId="77777777" w:rsidR="00D655DD" w:rsidRPr="00EE1A25" w:rsidRDefault="00AF4142">
      <w:pPr>
        <w:spacing w:before="240"/>
        <w:rPr>
          <w:rFonts w:cs="Times New Roman"/>
          <w:lang w:val="pt-BR"/>
        </w:rPr>
      </w:pPr>
      <w:r w:rsidRPr="00EE1A25">
        <w:rPr>
          <w:rFonts w:cs="Times New Roman"/>
          <w:b/>
          <w:lang w:val="pt-BR"/>
        </w:rPr>
        <w:t>CAPÍTULO III – MEDIÇÃO, HIDRÔMETRO E FATURAMENTO</w:t>
      </w:r>
    </w:p>
    <w:p w14:paraId="1B64BCB3" w14:textId="77777777" w:rsidR="00D655DD" w:rsidRPr="00EE1A25" w:rsidRDefault="00AF4142">
      <w:pPr>
        <w:ind w:firstLine="567"/>
        <w:jc w:val="both"/>
        <w:rPr>
          <w:rFonts w:cs="Times New Roman"/>
          <w:lang w:val="pt-BR"/>
        </w:rPr>
      </w:pPr>
      <w:r w:rsidRPr="00EE1A25">
        <w:rPr>
          <w:rFonts w:cs="Times New Roman"/>
          <w:lang w:val="pt-BR"/>
        </w:rPr>
        <w:t>Art. 7º É direito do usuário a medição fidedigna e ao acesso às informações de leitura e consumo, vedadas condutas que dificultem a verificação do consumo ou a compreensão da cobrança.</w:t>
      </w:r>
    </w:p>
    <w:p w14:paraId="02A7CD56" w14:textId="77777777" w:rsidR="00D655DD" w:rsidRPr="00EE1A25" w:rsidRDefault="00AF4142">
      <w:pPr>
        <w:ind w:firstLine="567"/>
        <w:jc w:val="both"/>
        <w:rPr>
          <w:rFonts w:cs="Times New Roman"/>
          <w:lang w:val="pt-BR"/>
        </w:rPr>
      </w:pPr>
      <w:r w:rsidRPr="00EE1A25">
        <w:rPr>
          <w:rFonts w:cs="Times New Roman"/>
          <w:lang w:val="pt-BR"/>
        </w:rPr>
        <w:t>Art. 8º O faturamento estimado somente poderá ocorrer de forma excepcional e motivada, limitado ao máximo de 1 (um) ciclo, devendo ser compensado no ciclo subsequente com base em leitura efetiva, com transparência na fatura.</w:t>
      </w:r>
    </w:p>
    <w:p w14:paraId="7A7D1975" w14:textId="77777777" w:rsidR="00D655DD" w:rsidRPr="00EE1A25" w:rsidRDefault="00AF4142">
      <w:pPr>
        <w:ind w:firstLine="567"/>
        <w:jc w:val="both"/>
        <w:rPr>
          <w:rFonts w:cs="Times New Roman"/>
          <w:lang w:val="pt-BR"/>
        </w:rPr>
      </w:pPr>
      <w:r w:rsidRPr="00EE1A25">
        <w:rPr>
          <w:rFonts w:cs="Times New Roman"/>
          <w:lang w:val="pt-BR"/>
        </w:rPr>
        <w:lastRenderedPageBreak/>
        <w:t>Art. 9º O usuário poderá requerer vistoria e aferição do hidrômetro conforme regramento regulatório; constatado defeito imputável à prestadora, a revisão de fatura será obrigatória, com estorno e correção de encargos.</w:t>
      </w:r>
    </w:p>
    <w:p w14:paraId="6AA0D550" w14:textId="58A818D7" w:rsidR="001B71F4" w:rsidRPr="00EE1A25" w:rsidRDefault="00AF4142" w:rsidP="00D76BEE">
      <w:pPr>
        <w:ind w:firstLine="567"/>
        <w:jc w:val="both"/>
        <w:rPr>
          <w:rFonts w:cs="Times New Roman"/>
          <w:lang w:val="pt-BR"/>
        </w:rPr>
      </w:pPr>
      <w:r w:rsidRPr="00EE1A25">
        <w:rPr>
          <w:rFonts w:cs="Times New Roman"/>
          <w:lang w:val="pt-BR"/>
        </w:rPr>
        <w:t>Art. 10. A prestadora deverá manter programa de manutenção e substituição preventiva de hidrômetros, com prioridade para equipamentos antigos ou com recorrência de falhas, reportando dados consolidados à entidade reguladora e, quando solicitado, ao Município, com preservação de dados pessoais.</w:t>
      </w:r>
    </w:p>
    <w:p w14:paraId="3EB5A0FA" w14:textId="472BF7F9" w:rsidR="001B71F4" w:rsidRPr="00EE1A25" w:rsidRDefault="001B71F4" w:rsidP="001B71F4">
      <w:pPr>
        <w:ind w:firstLine="567"/>
        <w:jc w:val="both"/>
        <w:rPr>
          <w:rFonts w:cs="Times New Roman"/>
          <w:lang w:val="pt-BR"/>
        </w:rPr>
      </w:pPr>
      <w:r w:rsidRPr="00EE1A25">
        <w:rPr>
          <w:rFonts w:cs="Times New Roman"/>
          <w:lang w:val="pt-BR"/>
        </w:rPr>
        <w:t xml:space="preserve">Art. 11. O controle metrológico legal dos hidrômetros utilizados na medição do consumo de água no Município de Aracaju observará os regulamentos técnicos metrológicos expedidos pelo INMETRO, especialmente aqueles aplicáveis aos medidores de água. </w:t>
      </w:r>
    </w:p>
    <w:p w14:paraId="58ED6352" w14:textId="77777777" w:rsidR="001B71F4" w:rsidRPr="00EE1A25" w:rsidRDefault="001B71F4" w:rsidP="001B71F4">
      <w:pPr>
        <w:ind w:firstLine="567"/>
        <w:jc w:val="both"/>
        <w:rPr>
          <w:rFonts w:cs="Times New Roman"/>
          <w:lang w:val="pt-BR"/>
        </w:rPr>
      </w:pPr>
      <w:r w:rsidRPr="00EE1A25">
        <w:rPr>
          <w:rFonts w:cs="Times New Roman"/>
          <w:lang w:val="pt-BR"/>
        </w:rPr>
        <w:t xml:space="preserve">§ 1º A concessionária somente poderá instalar e manter em operação hidrômetros conformes aos regulamentos do INMETRO, devendo conservar e disponibilizar, quando solicitados pelo usuário, pelo PROCON municipal, pela entidade reguladora competente ou pelo Município, os registros mínimos de identificação do instrumento, data de instalação, histórico de leituras e documentação metrológica correlata. </w:t>
      </w:r>
    </w:p>
    <w:p w14:paraId="26082C17" w14:textId="77777777" w:rsidR="001B71F4" w:rsidRPr="00EE1A25" w:rsidRDefault="001B71F4" w:rsidP="001B71F4">
      <w:pPr>
        <w:ind w:firstLine="567"/>
        <w:jc w:val="both"/>
        <w:rPr>
          <w:rFonts w:cs="Times New Roman"/>
          <w:lang w:val="pt-BR"/>
        </w:rPr>
      </w:pPr>
      <w:r w:rsidRPr="00EE1A25">
        <w:rPr>
          <w:rFonts w:cs="Times New Roman"/>
          <w:lang w:val="pt-BR"/>
        </w:rPr>
        <w:t xml:space="preserve">§ 2º A verificação e a fiscalização metrológica dos hidrômetros, quando cabíveis, serão realizadas pelo INMETRO e/ou pelo órgão delegado integrante da RBMLQ-I no Estado de Sergipe, atualmente o ITPS, na forma dos convênios e da legislação de metrologia legal. </w:t>
      </w:r>
    </w:p>
    <w:p w14:paraId="22902608" w14:textId="77777777" w:rsidR="001B71F4" w:rsidRPr="00EE1A25" w:rsidRDefault="001B71F4" w:rsidP="001B71F4">
      <w:pPr>
        <w:ind w:firstLine="567"/>
        <w:jc w:val="both"/>
        <w:rPr>
          <w:rFonts w:cs="Times New Roman"/>
          <w:lang w:val="pt-BR"/>
        </w:rPr>
      </w:pPr>
      <w:r w:rsidRPr="00EE1A25">
        <w:rPr>
          <w:rFonts w:cs="Times New Roman"/>
          <w:lang w:val="pt-BR"/>
        </w:rPr>
        <w:t xml:space="preserve">§ 3º O Município e o PROCON municipal poderão encaminhar ao ITPS/INMETRO representações e denúncias relacionadas a suspeita de erro de medição, irregularidade metrológica, violação de lacres/selos ou inconformidade do instrumento, para fins de apuração na esfera própria, sem prejuízo do procedimento de revisão de fatura previsto nesta Lei. </w:t>
      </w:r>
    </w:p>
    <w:p w14:paraId="0F0FB2D0" w14:textId="77777777" w:rsidR="001B71F4" w:rsidRPr="00EE1A25" w:rsidRDefault="001B71F4" w:rsidP="001B71F4">
      <w:pPr>
        <w:ind w:firstLine="567"/>
        <w:jc w:val="both"/>
        <w:rPr>
          <w:rFonts w:cs="Times New Roman"/>
          <w:lang w:val="pt-BR"/>
        </w:rPr>
      </w:pPr>
      <w:r w:rsidRPr="00EE1A25">
        <w:rPr>
          <w:rFonts w:cs="Times New Roman"/>
          <w:lang w:val="pt-BR"/>
        </w:rPr>
        <w:t>§ 4º Constatada inconformidade metrológica ou defeito do hidrômetro imputável à concessionária, deverá ser providenciada a substituição e o refaturamento/revisão, nos termos desta Lei e da regulação aplicável, sem cobrança de encargos sobre valores indevidos.</w:t>
      </w:r>
    </w:p>
    <w:p w14:paraId="79B22540" w14:textId="77777777" w:rsidR="001B71F4" w:rsidRPr="00EE1A25" w:rsidRDefault="001B71F4">
      <w:pPr>
        <w:ind w:firstLine="567"/>
        <w:jc w:val="both"/>
        <w:rPr>
          <w:rFonts w:cs="Times New Roman"/>
          <w:lang w:val="pt-BR"/>
        </w:rPr>
      </w:pPr>
    </w:p>
    <w:p w14:paraId="28AA9935" w14:textId="77777777" w:rsidR="00D655DD" w:rsidRPr="00EE1A25" w:rsidRDefault="00AF4142">
      <w:pPr>
        <w:spacing w:before="240"/>
        <w:rPr>
          <w:rFonts w:cs="Times New Roman"/>
          <w:lang w:val="pt-BR"/>
        </w:rPr>
      </w:pPr>
      <w:r w:rsidRPr="00EE1A25">
        <w:rPr>
          <w:rFonts w:cs="Times New Roman"/>
          <w:b/>
          <w:lang w:val="pt-BR"/>
        </w:rPr>
        <w:t>CAPÍTULO IV – REVISÃO DE FATURA, CONSUMO ATÍPICO E COBRANÇA INDEVIDA</w:t>
      </w:r>
    </w:p>
    <w:p w14:paraId="33C45CB9" w14:textId="45608C8B" w:rsidR="00D655DD" w:rsidRPr="00EE1A25" w:rsidRDefault="00AF4142">
      <w:pPr>
        <w:ind w:firstLine="567"/>
        <w:jc w:val="both"/>
        <w:rPr>
          <w:rFonts w:cs="Times New Roman"/>
          <w:lang w:val="pt-BR"/>
        </w:rPr>
      </w:pPr>
      <w:r w:rsidRPr="00EE1A25">
        <w:rPr>
          <w:rFonts w:cs="Times New Roman"/>
          <w:lang w:val="pt-BR"/>
        </w:rPr>
        <w:t>Art. 1</w:t>
      </w:r>
      <w:r w:rsidR="001B71F4" w:rsidRPr="00EE1A25">
        <w:rPr>
          <w:rFonts w:cs="Times New Roman"/>
          <w:lang w:val="pt-BR"/>
        </w:rPr>
        <w:t>2</w:t>
      </w:r>
      <w:r w:rsidRPr="00EE1A25">
        <w:rPr>
          <w:rFonts w:cs="Times New Roman"/>
          <w:lang w:val="pt-BR"/>
        </w:rPr>
        <w:t>. Identificado consumo atípico, o usuário poderá solicitar revisão da fatura e diligência técnica para apuração, com protocolo e prazos.</w:t>
      </w:r>
    </w:p>
    <w:p w14:paraId="0F25F037" w14:textId="2A73757E" w:rsidR="00D655DD" w:rsidRPr="00EE1A25" w:rsidRDefault="00AF4142">
      <w:pPr>
        <w:ind w:firstLine="567"/>
        <w:jc w:val="both"/>
        <w:rPr>
          <w:rFonts w:cs="Times New Roman"/>
          <w:lang w:val="pt-BR"/>
        </w:rPr>
      </w:pPr>
      <w:r w:rsidRPr="00EE1A25">
        <w:rPr>
          <w:rFonts w:cs="Times New Roman"/>
          <w:lang w:val="pt-BR"/>
        </w:rPr>
        <w:lastRenderedPageBreak/>
        <w:t>Art. 1</w:t>
      </w:r>
      <w:r w:rsidR="001B71F4" w:rsidRPr="00EE1A25">
        <w:rPr>
          <w:rFonts w:cs="Times New Roman"/>
          <w:lang w:val="pt-BR"/>
        </w:rPr>
        <w:t>3</w:t>
      </w:r>
      <w:r w:rsidRPr="00EE1A25">
        <w:rPr>
          <w:rFonts w:cs="Times New Roman"/>
          <w:lang w:val="pt-BR"/>
        </w:rPr>
        <w:t>. Recebida a contestação, a prestadora deverá disponibilizar ao usuário o histórico de consumo e leituras, informar os critérios de cobrança e concluir a análise em até 10 (dez) dias úteis, admitida prorrogação motivada por igual prazo.</w:t>
      </w:r>
    </w:p>
    <w:p w14:paraId="3D7D1AA3" w14:textId="0C5771E9" w:rsidR="00D655DD" w:rsidRPr="00EE1A25" w:rsidRDefault="00AF4142">
      <w:pPr>
        <w:ind w:firstLine="567"/>
        <w:jc w:val="both"/>
        <w:rPr>
          <w:rFonts w:cs="Times New Roman"/>
          <w:lang w:val="pt-BR"/>
        </w:rPr>
      </w:pPr>
      <w:r w:rsidRPr="00EE1A25">
        <w:rPr>
          <w:rFonts w:cs="Times New Roman"/>
          <w:lang w:val="pt-BR"/>
        </w:rPr>
        <w:t>Art. 1</w:t>
      </w:r>
      <w:r w:rsidR="001B71F4" w:rsidRPr="00EE1A25">
        <w:rPr>
          <w:rFonts w:cs="Times New Roman"/>
          <w:lang w:val="pt-BR"/>
        </w:rPr>
        <w:t>4</w:t>
      </w:r>
      <w:r w:rsidRPr="00EE1A25">
        <w:rPr>
          <w:rFonts w:cs="Times New Roman"/>
          <w:lang w:val="pt-BR"/>
        </w:rPr>
        <w:t>. Enquanto pendente a análise de fatura contestada por consumo atípico, fica vedada a suspensão do serviço em razão exclusiva do valor controvertido</w:t>
      </w:r>
      <w:r w:rsidR="00FE1E3B" w:rsidRPr="00EE1A25">
        <w:rPr>
          <w:rFonts w:cs="Times New Roman"/>
          <w:lang w:val="pt-BR"/>
        </w:rPr>
        <w:t>.</w:t>
      </w:r>
    </w:p>
    <w:p w14:paraId="0373C2F3" w14:textId="1C980E98" w:rsidR="00D655DD" w:rsidRPr="00EE1A25" w:rsidRDefault="00AF4142">
      <w:pPr>
        <w:ind w:firstLine="567"/>
        <w:jc w:val="both"/>
        <w:rPr>
          <w:rFonts w:cs="Times New Roman"/>
          <w:lang w:val="pt-BR"/>
        </w:rPr>
      </w:pPr>
      <w:r w:rsidRPr="00EE1A25">
        <w:rPr>
          <w:rFonts w:cs="Times New Roman"/>
          <w:lang w:val="pt-BR"/>
        </w:rPr>
        <w:t>Art. 1</w:t>
      </w:r>
      <w:r w:rsidR="001B71F4" w:rsidRPr="00EE1A25">
        <w:rPr>
          <w:rFonts w:cs="Times New Roman"/>
          <w:lang w:val="pt-BR"/>
        </w:rPr>
        <w:t>5</w:t>
      </w:r>
      <w:r w:rsidRPr="00EE1A25">
        <w:rPr>
          <w:rFonts w:cs="Times New Roman"/>
          <w:lang w:val="pt-BR"/>
        </w:rPr>
        <w:t>. Em caso de erro de leitura, erro de faturamento, defeito do hidrômetro ou cobrança indevida imputável à prestadora, deverá haver recálculo, emissão de fatura retificadora e estorno ou compensação no ciclo seguinte, vedada a incidência de encargos moratórios sobre valores reconhecidamente indevidos.</w:t>
      </w:r>
    </w:p>
    <w:p w14:paraId="0B0A8EB1" w14:textId="67075E7C" w:rsidR="00D655DD" w:rsidRPr="00EE1A25" w:rsidRDefault="00AF4142">
      <w:pPr>
        <w:ind w:firstLine="567"/>
        <w:jc w:val="both"/>
        <w:rPr>
          <w:rFonts w:cs="Times New Roman"/>
          <w:lang w:val="pt-BR"/>
        </w:rPr>
      </w:pPr>
      <w:r w:rsidRPr="00EE1A25">
        <w:rPr>
          <w:rFonts w:cs="Times New Roman"/>
          <w:lang w:val="pt-BR"/>
        </w:rPr>
        <w:t>Art. 1</w:t>
      </w:r>
      <w:r w:rsidR="001B71F4" w:rsidRPr="00EE1A25">
        <w:rPr>
          <w:rFonts w:cs="Times New Roman"/>
          <w:lang w:val="pt-BR"/>
        </w:rPr>
        <w:t>6</w:t>
      </w:r>
      <w:r w:rsidRPr="00EE1A25">
        <w:rPr>
          <w:rFonts w:cs="Times New Roman"/>
          <w:lang w:val="pt-BR"/>
        </w:rPr>
        <w:t>. Constatada a emissão de fatura com consumo manifestamente fora do padrão histórico da unidade consumidora, a prestadora deverá assegurar ao usuário, uma vez a cada período de 12 (doze) meses, o direito de requerer revisão administrativa da cobrança, para fins de refaturamento pela média de consumo, observadas as condições desta Lei e as normas regulatórias.</w:t>
      </w:r>
    </w:p>
    <w:p w14:paraId="31E623A4" w14:textId="3B012101" w:rsidR="00D655DD" w:rsidRPr="00EE1A25" w:rsidRDefault="00AF4142" w:rsidP="0036687B">
      <w:pPr>
        <w:ind w:firstLine="567"/>
        <w:jc w:val="both"/>
        <w:rPr>
          <w:rFonts w:cs="Times New Roman"/>
          <w:lang w:val="pt-BR"/>
        </w:rPr>
      </w:pPr>
      <w:r w:rsidRPr="00EE1A25">
        <w:rPr>
          <w:rFonts w:cs="Times New Roman"/>
          <w:lang w:val="pt-BR"/>
        </w:rPr>
        <w:t>§ 1º Para fins do caput, a média de consumo será calculada pela média aritmética dos últimos 12 (doze) meses imediatamente anteriores à fatura contestada, considerando-se, preferencialmente, meses com leitura regular; inexistindo histórico suficiente, utilizar-se-á a média dos meses disponíveis.</w:t>
      </w:r>
    </w:p>
    <w:p w14:paraId="64F211D5" w14:textId="2C53BB81" w:rsidR="00D655DD" w:rsidRPr="00EE1A25" w:rsidRDefault="00AF4142">
      <w:pPr>
        <w:ind w:firstLine="567"/>
        <w:jc w:val="both"/>
        <w:rPr>
          <w:rFonts w:cs="Times New Roman"/>
          <w:lang w:val="pt-BR"/>
        </w:rPr>
      </w:pPr>
      <w:r w:rsidRPr="00EE1A25">
        <w:rPr>
          <w:rFonts w:cs="Times New Roman"/>
          <w:lang w:val="pt-BR"/>
        </w:rPr>
        <w:t>Art. 1</w:t>
      </w:r>
      <w:r w:rsidR="001B71F4" w:rsidRPr="00EE1A25">
        <w:rPr>
          <w:rFonts w:cs="Times New Roman"/>
          <w:lang w:val="pt-BR"/>
        </w:rPr>
        <w:t>7</w:t>
      </w:r>
      <w:r w:rsidRPr="00EE1A25">
        <w:rPr>
          <w:rFonts w:cs="Times New Roman"/>
          <w:lang w:val="pt-BR"/>
        </w:rPr>
        <w:t xml:space="preserve">. Em casos de consumo atípico associado a vazamento oculto, a prestadora deverá assegurar procedimento específico de revisão, inclusive com possibilidade de parcelamento </w:t>
      </w:r>
      <w:r w:rsidR="005C1003" w:rsidRPr="00EE1A25">
        <w:rPr>
          <w:rFonts w:cs="Times New Roman"/>
          <w:lang w:val="pt-BR"/>
        </w:rPr>
        <w:t>da fatura</w:t>
      </w:r>
      <w:r w:rsidRPr="00EE1A25">
        <w:rPr>
          <w:rFonts w:cs="Times New Roman"/>
          <w:lang w:val="pt-BR"/>
        </w:rPr>
        <w:t>, observada a regulação; na ausência de regra regulatória aplicável, poderá ser aplicado desconto sobre o excedente, com limitação do impacto financeiro, mediante comprovação do reparo.</w:t>
      </w:r>
    </w:p>
    <w:p w14:paraId="4B748F00" w14:textId="6251552D" w:rsidR="00D655DD" w:rsidRPr="00EE1A25" w:rsidRDefault="00AF4142">
      <w:pPr>
        <w:ind w:firstLine="567"/>
        <w:jc w:val="both"/>
        <w:rPr>
          <w:rFonts w:cs="Times New Roman"/>
          <w:lang w:val="pt-BR"/>
        </w:rPr>
      </w:pPr>
      <w:r w:rsidRPr="00EE1A25">
        <w:rPr>
          <w:rFonts w:cs="Times New Roman"/>
          <w:lang w:val="pt-BR"/>
        </w:rPr>
        <w:t>Art. 1</w:t>
      </w:r>
      <w:r w:rsidR="001B71F4" w:rsidRPr="00EE1A25">
        <w:rPr>
          <w:rFonts w:cs="Times New Roman"/>
          <w:lang w:val="pt-BR"/>
        </w:rPr>
        <w:t>8</w:t>
      </w:r>
      <w:r w:rsidRPr="00EE1A25">
        <w:rPr>
          <w:rFonts w:cs="Times New Roman"/>
          <w:lang w:val="pt-BR"/>
        </w:rPr>
        <w:t>. A prestadora deverá assegurar transparência quanto à metodologia de cobrança, inclusive quando houver parcela fixa, tarifa mínima ou franquia, faixas progressivas e critérios por economias, quando aplicáveis, com indicação do critério na fatura.</w:t>
      </w:r>
    </w:p>
    <w:p w14:paraId="7DC9367D" w14:textId="77777777" w:rsidR="001B71F4" w:rsidRPr="00EE1A25" w:rsidRDefault="001B71F4" w:rsidP="001B71F4">
      <w:pPr>
        <w:ind w:firstLine="567"/>
        <w:jc w:val="both"/>
        <w:rPr>
          <w:rFonts w:cs="Times New Roman"/>
          <w:lang w:val="pt-BR"/>
        </w:rPr>
      </w:pPr>
    </w:p>
    <w:p w14:paraId="3D4535BA" w14:textId="33F1B9C2" w:rsidR="00D655DD" w:rsidRPr="00EE1A25" w:rsidRDefault="00AF4142">
      <w:pPr>
        <w:spacing w:before="240"/>
        <w:rPr>
          <w:rFonts w:cs="Times New Roman"/>
          <w:lang w:val="pt-BR"/>
        </w:rPr>
      </w:pPr>
      <w:r w:rsidRPr="00EE1A25">
        <w:rPr>
          <w:rFonts w:cs="Times New Roman"/>
          <w:b/>
          <w:lang w:val="pt-BR"/>
        </w:rPr>
        <w:t>CAPÍTULO V – SUSPENSÃO POR INADIMPLÊNCIA, QUITAÇÃO IMEDIATA E RELIGAÇÃO</w:t>
      </w:r>
    </w:p>
    <w:p w14:paraId="232AF8EA" w14:textId="2187898D" w:rsidR="00D655DD" w:rsidRPr="00EE1A25" w:rsidRDefault="00AF4142">
      <w:pPr>
        <w:ind w:firstLine="567"/>
        <w:jc w:val="both"/>
        <w:rPr>
          <w:rFonts w:cs="Times New Roman"/>
          <w:lang w:val="pt-BR"/>
        </w:rPr>
      </w:pPr>
      <w:r w:rsidRPr="00EE1A25">
        <w:rPr>
          <w:rFonts w:cs="Times New Roman"/>
          <w:lang w:val="pt-BR"/>
        </w:rPr>
        <w:t xml:space="preserve">Art. </w:t>
      </w:r>
      <w:r w:rsidR="00007D26" w:rsidRPr="00EE1A25">
        <w:rPr>
          <w:rFonts w:cs="Times New Roman"/>
          <w:lang w:val="pt-BR"/>
        </w:rPr>
        <w:t>19</w:t>
      </w:r>
      <w:r w:rsidRPr="00EE1A25">
        <w:rPr>
          <w:rFonts w:cs="Times New Roman"/>
          <w:lang w:val="pt-BR"/>
        </w:rPr>
        <w:t>. A suspensão do fornecimento por inadimplemento observará o devido processo e as garantias do usuário, sendo vedado o corte:</w:t>
      </w:r>
    </w:p>
    <w:p w14:paraId="429BE267" w14:textId="77777777" w:rsidR="00D655DD" w:rsidRPr="00EE1A25" w:rsidRDefault="00AF4142">
      <w:pPr>
        <w:ind w:left="567"/>
        <w:jc w:val="both"/>
        <w:rPr>
          <w:rFonts w:cs="Times New Roman"/>
          <w:lang w:val="pt-BR"/>
        </w:rPr>
      </w:pPr>
      <w:r w:rsidRPr="00EE1A25">
        <w:rPr>
          <w:rFonts w:cs="Times New Roman"/>
          <w:lang w:val="pt-BR"/>
        </w:rPr>
        <w:t xml:space="preserve">I – </w:t>
      </w:r>
      <w:proofErr w:type="gramStart"/>
      <w:r w:rsidRPr="00EE1A25">
        <w:rPr>
          <w:rFonts w:cs="Times New Roman"/>
          <w:lang w:val="pt-BR"/>
        </w:rPr>
        <w:t>por</w:t>
      </w:r>
      <w:proofErr w:type="gramEnd"/>
      <w:r w:rsidRPr="00EE1A25">
        <w:rPr>
          <w:rFonts w:cs="Times New Roman"/>
          <w:lang w:val="pt-BR"/>
        </w:rPr>
        <w:t xml:space="preserve"> débito pretérito não correspondente ao ciclo regular atual, devendo a cobrança seguir meios ordinários;</w:t>
      </w:r>
    </w:p>
    <w:p w14:paraId="71496880" w14:textId="77777777" w:rsidR="00D655DD" w:rsidRPr="00EE1A25" w:rsidRDefault="00AF4142">
      <w:pPr>
        <w:ind w:left="567"/>
        <w:jc w:val="both"/>
        <w:rPr>
          <w:rFonts w:cs="Times New Roman"/>
          <w:lang w:val="pt-BR"/>
        </w:rPr>
      </w:pPr>
      <w:r w:rsidRPr="00EE1A25">
        <w:rPr>
          <w:rFonts w:cs="Times New Roman"/>
          <w:lang w:val="pt-BR"/>
        </w:rPr>
        <w:lastRenderedPageBreak/>
        <w:t xml:space="preserve">II – </w:t>
      </w:r>
      <w:proofErr w:type="gramStart"/>
      <w:r w:rsidRPr="00EE1A25">
        <w:rPr>
          <w:rFonts w:cs="Times New Roman"/>
          <w:lang w:val="pt-BR"/>
        </w:rPr>
        <w:t>enquanto</w:t>
      </w:r>
      <w:proofErr w:type="gramEnd"/>
      <w:r w:rsidRPr="00EE1A25">
        <w:rPr>
          <w:rFonts w:cs="Times New Roman"/>
          <w:lang w:val="pt-BR"/>
        </w:rPr>
        <w:t xml:space="preserve"> houver fatura contestada e procedimento administrativo em curso, relativamente ao valor controvertido;</w:t>
      </w:r>
    </w:p>
    <w:p w14:paraId="283AE399" w14:textId="77777777" w:rsidR="00D655DD" w:rsidRPr="00EE1A25" w:rsidRDefault="00AF4142">
      <w:pPr>
        <w:ind w:left="567"/>
        <w:jc w:val="both"/>
        <w:rPr>
          <w:rFonts w:cs="Times New Roman"/>
          <w:lang w:val="pt-BR"/>
        </w:rPr>
      </w:pPr>
      <w:r w:rsidRPr="00EE1A25">
        <w:rPr>
          <w:rFonts w:cs="Times New Roman"/>
          <w:lang w:val="pt-BR"/>
        </w:rPr>
        <w:t>III – em sextas-feiras, vésperas de feriados, feriados, sábados e domingos, salvo risco à segurança, emergência ou determinação técnica.</w:t>
      </w:r>
    </w:p>
    <w:p w14:paraId="763A2A0A" w14:textId="1B5E8151" w:rsidR="00D655DD" w:rsidRPr="00EE1A25" w:rsidRDefault="00AF4142">
      <w:pPr>
        <w:ind w:firstLine="567"/>
        <w:jc w:val="both"/>
        <w:rPr>
          <w:rFonts w:cs="Times New Roman"/>
          <w:lang w:val="pt-BR"/>
        </w:rPr>
      </w:pPr>
      <w:r w:rsidRPr="00EE1A25">
        <w:rPr>
          <w:rFonts w:cs="Times New Roman"/>
          <w:lang w:val="pt-BR"/>
        </w:rPr>
        <w:t>Art. 2</w:t>
      </w:r>
      <w:r w:rsidR="00007D26" w:rsidRPr="00EE1A25">
        <w:rPr>
          <w:rFonts w:cs="Times New Roman"/>
          <w:lang w:val="pt-BR"/>
        </w:rPr>
        <w:t>0</w:t>
      </w:r>
      <w:r w:rsidRPr="00EE1A25">
        <w:rPr>
          <w:rFonts w:cs="Times New Roman"/>
          <w:lang w:val="pt-BR"/>
        </w:rPr>
        <w:t>. No ato da visita técnica destinada à efetivação da suspensão do serviço por inadimplência, a prestadora fica obrigada a oferecer ao usuário inadimplente a possibilidade de quitar débitos pendentes antes da interrupção, mediante PIX ou cartão de crédito, com o objetivo de sustar o ato de suspensão e garantir a continuidade do serviço, ainda que o usuário tenha sido previamente notificado.</w:t>
      </w:r>
    </w:p>
    <w:p w14:paraId="306BAA16" w14:textId="77777777" w:rsidR="00D655DD" w:rsidRPr="00EE1A25" w:rsidRDefault="00AF4142">
      <w:pPr>
        <w:ind w:left="567"/>
        <w:jc w:val="both"/>
        <w:rPr>
          <w:rFonts w:cs="Times New Roman"/>
          <w:lang w:val="pt-BR"/>
        </w:rPr>
      </w:pPr>
      <w:r w:rsidRPr="00EE1A25">
        <w:rPr>
          <w:rFonts w:cs="Times New Roman"/>
          <w:lang w:val="pt-BR"/>
        </w:rPr>
        <w:t>§ 1º A modalidade do caput aplica-se aos casos de primeira inadimplência no exercício financeiro corrente, limitada à existência de até duas faturas vencidas no momento da visita.</w:t>
      </w:r>
    </w:p>
    <w:p w14:paraId="2D68C990" w14:textId="77777777" w:rsidR="00D655DD" w:rsidRPr="00EE1A25" w:rsidRDefault="00AF4142">
      <w:pPr>
        <w:ind w:left="567"/>
        <w:jc w:val="both"/>
        <w:rPr>
          <w:rFonts w:cs="Times New Roman"/>
          <w:lang w:val="pt-BR"/>
        </w:rPr>
      </w:pPr>
      <w:r w:rsidRPr="00EE1A25">
        <w:rPr>
          <w:rFonts w:cs="Times New Roman"/>
          <w:lang w:val="pt-BR"/>
        </w:rPr>
        <w:t>§ 2º Confirmado o pagamento integral antes da efetivação da suspensão, fica vedada a interrupção do serviço e proibida a cobrança de taxa, tarifa ou encargo associado a desligamento ou religação quando a interrupção não tiver sido realizada.</w:t>
      </w:r>
    </w:p>
    <w:p w14:paraId="28095C4D" w14:textId="77777777" w:rsidR="00D655DD" w:rsidRPr="00EE1A25" w:rsidRDefault="00AF4142">
      <w:pPr>
        <w:ind w:left="567"/>
        <w:jc w:val="both"/>
        <w:rPr>
          <w:rFonts w:cs="Times New Roman"/>
          <w:lang w:val="pt-BR"/>
        </w:rPr>
      </w:pPr>
      <w:r w:rsidRPr="00EE1A25">
        <w:rPr>
          <w:rFonts w:cs="Times New Roman"/>
          <w:lang w:val="pt-BR"/>
        </w:rPr>
        <w:t>§ 3º A obrigação prevista neste artigo aplica-se às suspensões motivadas por inadimplemento, não alcançando hipóteses de fraude, risco à segurança, emergência, determinação técnica ou impossibilidade comprovada de acesso ao medidor ou à unidade.</w:t>
      </w:r>
    </w:p>
    <w:p w14:paraId="55DE054F" w14:textId="2549AC81" w:rsidR="00833571" w:rsidRPr="00EE1A25" w:rsidRDefault="00AF4142" w:rsidP="002F1310">
      <w:pPr>
        <w:ind w:firstLine="567"/>
        <w:jc w:val="both"/>
        <w:rPr>
          <w:rFonts w:cs="Times New Roman"/>
          <w:lang w:val="pt-BR"/>
        </w:rPr>
      </w:pPr>
      <w:r w:rsidRPr="00EE1A25">
        <w:rPr>
          <w:rFonts w:cs="Times New Roman"/>
          <w:lang w:val="pt-BR"/>
        </w:rPr>
        <w:t>Art. 2</w:t>
      </w:r>
      <w:r w:rsidR="00007D26" w:rsidRPr="00EE1A25">
        <w:rPr>
          <w:rFonts w:cs="Times New Roman"/>
          <w:lang w:val="pt-BR"/>
        </w:rPr>
        <w:t>1</w:t>
      </w:r>
      <w:r w:rsidRPr="00EE1A25">
        <w:rPr>
          <w:rFonts w:cs="Times New Roman"/>
          <w:lang w:val="pt-BR"/>
        </w:rPr>
        <w:t>. Na notificação de débito passível de suspensão, a prestadora deverá informar o valor total discriminado por faturas, e orientar quanto aos meios eletrônicos funcionais para quitação imediata, inclusive os previstos no art. 2</w:t>
      </w:r>
      <w:r w:rsidR="002F1310" w:rsidRPr="00EE1A25">
        <w:rPr>
          <w:rFonts w:cs="Times New Roman"/>
          <w:lang w:val="pt-BR"/>
        </w:rPr>
        <w:t>0</w:t>
      </w:r>
      <w:r w:rsidRPr="00EE1A25">
        <w:rPr>
          <w:rFonts w:cs="Times New Roman"/>
          <w:lang w:val="pt-BR"/>
        </w:rPr>
        <w:t>.</w:t>
      </w:r>
    </w:p>
    <w:p w14:paraId="4F8C6584" w14:textId="166B9BB8" w:rsidR="00D655DD" w:rsidRPr="00EE1A25" w:rsidRDefault="00AF4142">
      <w:pPr>
        <w:spacing w:before="240"/>
        <w:rPr>
          <w:rFonts w:cs="Times New Roman"/>
          <w:lang w:val="pt-BR"/>
        </w:rPr>
      </w:pPr>
      <w:r w:rsidRPr="00EE1A25">
        <w:rPr>
          <w:rFonts w:cs="Times New Roman"/>
          <w:b/>
          <w:lang w:val="pt-BR"/>
        </w:rPr>
        <w:t>CAPÍTULO VI – CONTINUIDADE DO SERVIÇO, DESABASTECIMENTO E COMPENSAÇÃO EM FATURA</w:t>
      </w:r>
    </w:p>
    <w:p w14:paraId="581F6AFE" w14:textId="26ADBE12" w:rsidR="00D655DD" w:rsidRPr="00EE1A25" w:rsidRDefault="00AF4142">
      <w:pPr>
        <w:ind w:firstLine="567"/>
        <w:jc w:val="both"/>
        <w:rPr>
          <w:rFonts w:cs="Times New Roman"/>
          <w:lang w:val="pt-BR"/>
        </w:rPr>
      </w:pPr>
      <w:r w:rsidRPr="00EE1A25">
        <w:rPr>
          <w:rFonts w:cs="Times New Roman"/>
          <w:lang w:val="pt-BR"/>
        </w:rPr>
        <w:t>Art. 2</w:t>
      </w:r>
      <w:r w:rsidR="00007D26" w:rsidRPr="00EE1A25">
        <w:rPr>
          <w:rFonts w:cs="Times New Roman"/>
          <w:lang w:val="pt-BR"/>
        </w:rPr>
        <w:t>2</w:t>
      </w:r>
      <w:r w:rsidRPr="00EE1A25">
        <w:rPr>
          <w:rFonts w:cs="Times New Roman"/>
          <w:lang w:val="pt-BR"/>
        </w:rPr>
        <w:t>. Em caso de interrupção programada, a prestadora deverá comunicar com antecedência mínima de 24 (vinte e quatro) horas: motivo, área afetada, início, previsão de retorno e canais de suporte.</w:t>
      </w:r>
    </w:p>
    <w:p w14:paraId="48587DA5" w14:textId="22C0D5DB" w:rsidR="00D655DD" w:rsidRPr="00EE1A25" w:rsidRDefault="00AF4142">
      <w:pPr>
        <w:ind w:firstLine="567"/>
        <w:jc w:val="both"/>
        <w:rPr>
          <w:rFonts w:cs="Times New Roman"/>
          <w:lang w:val="pt-BR"/>
        </w:rPr>
      </w:pPr>
      <w:r w:rsidRPr="00EE1A25">
        <w:rPr>
          <w:rFonts w:cs="Times New Roman"/>
          <w:lang w:val="pt-BR"/>
        </w:rPr>
        <w:t>Art. 2</w:t>
      </w:r>
      <w:r w:rsidR="00007D26" w:rsidRPr="00EE1A25">
        <w:rPr>
          <w:rFonts w:cs="Times New Roman"/>
          <w:lang w:val="pt-BR"/>
        </w:rPr>
        <w:t>3</w:t>
      </w:r>
      <w:r w:rsidRPr="00EE1A25">
        <w:rPr>
          <w:rFonts w:cs="Times New Roman"/>
          <w:lang w:val="pt-BR"/>
        </w:rPr>
        <w:t>. Em caso de interrupção não programada, a prestadora deverá comunicar o evento em até 2 (duas) horas após sua identificação, com atualizações a cada 6 (seis) horas enquanto persistir, por meios idôneos e acessíveis.</w:t>
      </w:r>
    </w:p>
    <w:p w14:paraId="05D907F3" w14:textId="4E59B4CD" w:rsidR="00D655DD" w:rsidRPr="00EE1A25" w:rsidRDefault="00AF4142">
      <w:pPr>
        <w:ind w:firstLine="567"/>
        <w:jc w:val="both"/>
        <w:rPr>
          <w:rFonts w:cs="Times New Roman"/>
          <w:lang w:val="pt-BR"/>
        </w:rPr>
      </w:pPr>
      <w:r w:rsidRPr="00EE1A25">
        <w:rPr>
          <w:rFonts w:cs="Times New Roman"/>
          <w:lang w:val="pt-BR"/>
        </w:rPr>
        <w:t>Art. 2</w:t>
      </w:r>
      <w:r w:rsidR="00007D26" w:rsidRPr="00EE1A25">
        <w:rPr>
          <w:rFonts w:cs="Times New Roman"/>
          <w:lang w:val="pt-BR"/>
        </w:rPr>
        <w:t>4</w:t>
      </w:r>
      <w:r w:rsidRPr="00EE1A25">
        <w:rPr>
          <w:rFonts w:cs="Times New Roman"/>
          <w:lang w:val="pt-BR"/>
        </w:rPr>
        <w:t>. A prestadora deverá manter Painel Público de Interrupções, com data e hora de início, causa informada, área afetada, previsão e normalização efetiva, preservando dados pessoais, com histórico disponível por 12 (doze) meses.</w:t>
      </w:r>
    </w:p>
    <w:p w14:paraId="7212A30E" w14:textId="7F15C843" w:rsidR="00D655DD" w:rsidRPr="00EE1A25" w:rsidRDefault="00AF4142">
      <w:pPr>
        <w:ind w:firstLine="567"/>
        <w:jc w:val="both"/>
        <w:rPr>
          <w:rFonts w:cs="Times New Roman"/>
          <w:lang w:val="pt-BR"/>
        </w:rPr>
      </w:pPr>
      <w:r w:rsidRPr="00EE1A25">
        <w:rPr>
          <w:rFonts w:cs="Times New Roman"/>
          <w:lang w:val="pt-BR"/>
        </w:rPr>
        <w:lastRenderedPageBreak/>
        <w:t>Art. 2</w:t>
      </w:r>
      <w:r w:rsidR="00007D26" w:rsidRPr="00EE1A25">
        <w:rPr>
          <w:rFonts w:cs="Times New Roman"/>
          <w:lang w:val="pt-BR"/>
        </w:rPr>
        <w:t>5</w:t>
      </w:r>
      <w:r w:rsidRPr="00EE1A25">
        <w:rPr>
          <w:rFonts w:cs="Times New Roman"/>
          <w:lang w:val="pt-BR"/>
        </w:rPr>
        <w:t>. Configurado desabastecimento relevante, o usuário terá direito a crédito compensatório na fatura subsequente, quando a interrupção:</w:t>
      </w:r>
    </w:p>
    <w:p w14:paraId="50064F9D" w14:textId="77777777" w:rsidR="00D655DD" w:rsidRPr="00EE1A25" w:rsidRDefault="00AF4142">
      <w:pPr>
        <w:ind w:left="567"/>
        <w:jc w:val="both"/>
        <w:rPr>
          <w:rFonts w:cs="Times New Roman"/>
          <w:lang w:val="pt-BR"/>
        </w:rPr>
      </w:pPr>
      <w:r w:rsidRPr="00EE1A25">
        <w:rPr>
          <w:rFonts w:cs="Times New Roman"/>
          <w:lang w:val="pt-BR"/>
        </w:rPr>
        <w:t xml:space="preserve">I – </w:t>
      </w:r>
      <w:proofErr w:type="gramStart"/>
      <w:r w:rsidRPr="00EE1A25">
        <w:rPr>
          <w:rFonts w:cs="Times New Roman"/>
          <w:lang w:val="pt-BR"/>
        </w:rPr>
        <w:t>superar</w:t>
      </w:r>
      <w:proofErr w:type="gramEnd"/>
      <w:r w:rsidRPr="00EE1A25">
        <w:rPr>
          <w:rFonts w:cs="Times New Roman"/>
          <w:lang w:val="pt-BR"/>
        </w:rPr>
        <w:t xml:space="preserve"> 24 (vinte e quatro) horas contínuas; ou</w:t>
      </w:r>
    </w:p>
    <w:p w14:paraId="1D2919DF" w14:textId="77777777" w:rsidR="00D655DD" w:rsidRPr="00EE1A25" w:rsidRDefault="00AF4142">
      <w:pPr>
        <w:ind w:left="567"/>
        <w:jc w:val="both"/>
        <w:rPr>
          <w:rFonts w:cs="Times New Roman"/>
          <w:lang w:val="pt-BR"/>
        </w:rPr>
      </w:pPr>
      <w:r w:rsidRPr="00EE1A25">
        <w:rPr>
          <w:rFonts w:cs="Times New Roman"/>
          <w:lang w:val="pt-BR"/>
        </w:rPr>
        <w:t xml:space="preserve">II – </w:t>
      </w:r>
      <w:proofErr w:type="gramStart"/>
      <w:r w:rsidRPr="00EE1A25">
        <w:rPr>
          <w:rFonts w:cs="Times New Roman"/>
          <w:lang w:val="pt-BR"/>
        </w:rPr>
        <w:t>totalizar</w:t>
      </w:r>
      <w:proofErr w:type="gramEnd"/>
      <w:r w:rsidRPr="00EE1A25">
        <w:rPr>
          <w:rFonts w:cs="Times New Roman"/>
          <w:lang w:val="pt-BR"/>
        </w:rPr>
        <w:t xml:space="preserve"> 48 (quarenta e oito) horas ou mais, ainda que intermitentes, dentro do mesmo ciclo de faturamento, na área afetada.</w:t>
      </w:r>
    </w:p>
    <w:p w14:paraId="4CD23FB3" w14:textId="77777777" w:rsidR="00D655DD" w:rsidRPr="00EE1A25" w:rsidRDefault="00AF4142">
      <w:pPr>
        <w:ind w:left="567"/>
        <w:jc w:val="both"/>
        <w:rPr>
          <w:rFonts w:cs="Times New Roman"/>
          <w:lang w:val="pt-BR"/>
        </w:rPr>
      </w:pPr>
      <w:r w:rsidRPr="00EE1A25">
        <w:rPr>
          <w:rFonts w:cs="Times New Roman"/>
          <w:lang w:val="pt-BR"/>
        </w:rPr>
        <w:t>§ 1º O crédito seguirá a metodologia definida pela entidade reguladora competente; na ausência de metodologia específica aplicável ao caso, o crédito mínimo corresponderá ao abatimento proporcional (pro rata) do período sem prestação adequada, incluindo a parcela fixa ou tarifa de disponibilidade (quando existente) e a parcela vinculada ao esgotamento sanitário relacionada ao período, com transparência do cálculo.</w:t>
      </w:r>
    </w:p>
    <w:p w14:paraId="38E29F01" w14:textId="77777777" w:rsidR="00D655DD" w:rsidRPr="00EE1A25" w:rsidRDefault="00AF4142">
      <w:pPr>
        <w:ind w:left="567"/>
        <w:jc w:val="both"/>
        <w:rPr>
          <w:rFonts w:cs="Times New Roman"/>
          <w:lang w:val="pt-BR"/>
        </w:rPr>
      </w:pPr>
      <w:r w:rsidRPr="00EE1A25">
        <w:rPr>
          <w:rFonts w:cs="Times New Roman"/>
          <w:lang w:val="pt-BR"/>
        </w:rPr>
        <w:t>§ 2º O usuário poderá requerer compensação individual quando demonstrar, por protocolos e elementos mínimos, que foi afetado apesar de não constar da área no Painel, devendo a prestadora decidir em até 10 (dez) dias úteis, de forma motivada.</w:t>
      </w:r>
    </w:p>
    <w:p w14:paraId="68FAAF32" w14:textId="70FDE46A" w:rsidR="00D655DD" w:rsidRPr="00EE1A25" w:rsidRDefault="00AF4142">
      <w:pPr>
        <w:ind w:firstLine="567"/>
        <w:jc w:val="both"/>
        <w:rPr>
          <w:rFonts w:cs="Times New Roman"/>
          <w:lang w:val="pt-BR"/>
        </w:rPr>
      </w:pPr>
      <w:r w:rsidRPr="00EE1A25">
        <w:rPr>
          <w:rFonts w:cs="Times New Roman"/>
          <w:lang w:val="pt-BR"/>
        </w:rPr>
        <w:t xml:space="preserve">Art. </w:t>
      </w:r>
      <w:r w:rsidR="002F1310" w:rsidRPr="00EE1A25">
        <w:rPr>
          <w:rFonts w:cs="Times New Roman"/>
          <w:lang w:val="pt-BR"/>
        </w:rPr>
        <w:t>2</w:t>
      </w:r>
      <w:r w:rsidR="00007D26" w:rsidRPr="00EE1A25">
        <w:rPr>
          <w:rFonts w:cs="Times New Roman"/>
          <w:lang w:val="pt-BR"/>
        </w:rPr>
        <w:t>6</w:t>
      </w:r>
      <w:r w:rsidRPr="00EE1A25">
        <w:rPr>
          <w:rFonts w:cs="Times New Roman"/>
          <w:lang w:val="pt-BR"/>
        </w:rPr>
        <w:t>. Durante o período de desabastecimento relevante e até a efetiva compensação ou retificação, fica vedado aplicar encargos moratórios ou medidas restritivas em razão de parcela que deva ser objeto de crédito ou ajuste, quando demonstrada falha operacional relacionada ao desabastecimento.</w:t>
      </w:r>
    </w:p>
    <w:p w14:paraId="4EB0D530" w14:textId="0273F1A8" w:rsidR="00A5122E" w:rsidRPr="00EE1A25" w:rsidRDefault="00AF4142" w:rsidP="00A5122E">
      <w:pPr>
        <w:ind w:firstLine="567"/>
        <w:jc w:val="both"/>
        <w:rPr>
          <w:rFonts w:cs="Times New Roman"/>
          <w:lang w:val="pt-BR"/>
        </w:rPr>
      </w:pPr>
      <w:r w:rsidRPr="00EE1A25">
        <w:rPr>
          <w:rFonts w:cs="Times New Roman"/>
          <w:lang w:val="pt-BR"/>
        </w:rPr>
        <w:t xml:space="preserve">Art. </w:t>
      </w:r>
      <w:r w:rsidR="002F1310" w:rsidRPr="00EE1A25">
        <w:rPr>
          <w:rFonts w:cs="Times New Roman"/>
          <w:lang w:val="pt-BR"/>
        </w:rPr>
        <w:t>2</w:t>
      </w:r>
      <w:r w:rsidR="00007D26" w:rsidRPr="00EE1A25">
        <w:rPr>
          <w:rFonts w:cs="Times New Roman"/>
          <w:lang w:val="pt-BR"/>
        </w:rPr>
        <w:t>7</w:t>
      </w:r>
      <w:r w:rsidRPr="00EE1A25">
        <w:rPr>
          <w:rFonts w:cs="Times New Roman"/>
          <w:lang w:val="pt-BR"/>
        </w:rPr>
        <w:t>. Havendo reincidência de desabastecimento relevante na mesma área por 2 (duas) vezes ou mais em 60 (sessenta) dias, a prestadora deverá apresentar Plano de Ação corretivo ao Município e à entidade reguladora, com cronograma, medidas, metas e prazos.</w:t>
      </w:r>
    </w:p>
    <w:p w14:paraId="0930C3E6" w14:textId="50872737" w:rsidR="00D655DD" w:rsidRPr="00EE1A25" w:rsidRDefault="00AF4142">
      <w:pPr>
        <w:spacing w:before="240"/>
        <w:rPr>
          <w:rFonts w:cs="Times New Roman"/>
          <w:lang w:val="pt-BR"/>
        </w:rPr>
      </w:pPr>
      <w:r w:rsidRPr="00EE1A25">
        <w:rPr>
          <w:rFonts w:cs="Times New Roman"/>
          <w:b/>
          <w:lang w:val="pt-BR"/>
        </w:rPr>
        <w:t xml:space="preserve">CAPÍTULO </w:t>
      </w:r>
      <w:r w:rsidR="004C7E3B" w:rsidRPr="00EE1A25">
        <w:rPr>
          <w:rFonts w:cs="Times New Roman"/>
          <w:b/>
          <w:lang w:val="pt-BR"/>
        </w:rPr>
        <w:t>VIII</w:t>
      </w:r>
      <w:r w:rsidRPr="00EE1A25">
        <w:rPr>
          <w:rFonts w:cs="Times New Roman"/>
          <w:b/>
          <w:lang w:val="pt-BR"/>
        </w:rPr>
        <w:t xml:space="preserve"> – FISCALIZAÇÃO E SANÇÕES</w:t>
      </w:r>
    </w:p>
    <w:p w14:paraId="2ED805A1" w14:textId="6B90CBFA" w:rsidR="00D655DD" w:rsidRPr="00EE1A25" w:rsidRDefault="00AF4142">
      <w:pPr>
        <w:ind w:firstLine="567"/>
        <w:jc w:val="both"/>
        <w:rPr>
          <w:rFonts w:cs="Times New Roman"/>
          <w:lang w:val="pt-BR"/>
        </w:rPr>
      </w:pPr>
      <w:r w:rsidRPr="00EE1A25">
        <w:rPr>
          <w:rFonts w:cs="Times New Roman"/>
          <w:lang w:val="pt-BR"/>
        </w:rPr>
        <w:t xml:space="preserve">Art. </w:t>
      </w:r>
      <w:r w:rsidR="004C7E3B" w:rsidRPr="00EE1A25">
        <w:rPr>
          <w:rFonts w:cs="Times New Roman"/>
          <w:lang w:val="pt-BR"/>
        </w:rPr>
        <w:t>2</w:t>
      </w:r>
      <w:r w:rsidR="00007D26" w:rsidRPr="00EE1A25">
        <w:rPr>
          <w:rFonts w:cs="Times New Roman"/>
          <w:lang w:val="pt-BR"/>
        </w:rPr>
        <w:t>8</w:t>
      </w:r>
      <w:r w:rsidRPr="00EE1A25">
        <w:rPr>
          <w:rFonts w:cs="Times New Roman"/>
          <w:lang w:val="pt-BR"/>
        </w:rPr>
        <w:t>. A fiscalização do cumprimento desta Lei caberá ao PROCON Municipal e aos órgãos municipais competentes, no âmbito de suas atribuições, com preservação de dados pessoais e cooperação com a entidade reguladora.</w:t>
      </w:r>
    </w:p>
    <w:p w14:paraId="305CB85F" w14:textId="481355CB" w:rsidR="00D655DD" w:rsidRPr="00EE1A25" w:rsidRDefault="00AF4142">
      <w:pPr>
        <w:ind w:firstLine="567"/>
        <w:jc w:val="both"/>
        <w:rPr>
          <w:rFonts w:cs="Times New Roman"/>
          <w:lang w:val="pt-BR"/>
        </w:rPr>
      </w:pPr>
      <w:r w:rsidRPr="00EE1A25">
        <w:rPr>
          <w:rFonts w:cs="Times New Roman"/>
          <w:lang w:val="pt-BR"/>
        </w:rPr>
        <w:t xml:space="preserve">Art. </w:t>
      </w:r>
      <w:r w:rsidR="00007D26" w:rsidRPr="00EE1A25">
        <w:rPr>
          <w:rFonts w:cs="Times New Roman"/>
          <w:lang w:val="pt-BR"/>
        </w:rPr>
        <w:t>29</w:t>
      </w:r>
      <w:r w:rsidRPr="00EE1A25">
        <w:rPr>
          <w:rFonts w:cs="Times New Roman"/>
          <w:lang w:val="pt-BR"/>
        </w:rPr>
        <w:t>. O descumprimento desta Lei sujeita a prestadora:</w:t>
      </w:r>
    </w:p>
    <w:p w14:paraId="7019E7E8" w14:textId="5147FCDF" w:rsidR="00D655DD" w:rsidRPr="00EE1A25" w:rsidRDefault="00AF4142">
      <w:pPr>
        <w:ind w:left="567"/>
        <w:jc w:val="both"/>
        <w:rPr>
          <w:rFonts w:cs="Times New Roman"/>
          <w:lang w:val="pt-BR"/>
        </w:rPr>
      </w:pPr>
      <w:r w:rsidRPr="00EE1A25">
        <w:rPr>
          <w:rFonts w:cs="Times New Roman"/>
          <w:lang w:val="pt-BR"/>
        </w:rPr>
        <w:t xml:space="preserve">I – </w:t>
      </w:r>
      <w:proofErr w:type="gramStart"/>
      <w:r w:rsidRPr="00EE1A25">
        <w:rPr>
          <w:rFonts w:cs="Times New Roman"/>
          <w:lang w:val="pt-BR"/>
        </w:rPr>
        <w:t>às</w:t>
      </w:r>
      <w:proofErr w:type="gramEnd"/>
      <w:r w:rsidRPr="00EE1A25">
        <w:rPr>
          <w:rFonts w:cs="Times New Roman"/>
          <w:lang w:val="pt-BR"/>
        </w:rPr>
        <w:t xml:space="preserve"> sanções administrativas cabíveis no âmbito do </w:t>
      </w:r>
      <w:r w:rsidR="00A5122E" w:rsidRPr="00EE1A25">
        <w:rPr>
          <w:rFonts w:cs="Times New Roman"/>
          <w:lang w:val="pt-BR"/>
        </w:rPr>
        <w:t xml:space="preserve">sistema municipal </w:t>
      </w:r>
      <w:r w:rsidRPr="00EE1A25">
        <w:rPr>
          <w:rFonts w:cs="Times New Roman"/>
          <w:lang w:val="pt-BR"/>
        </w:rPr>
        <w:t>de Defesa do Consumidor/PROCON, observado contraditório e ampla defesa;</w:t>
      </w:r>
    </w:p>
    <w:p w14:paraId="36B9BE6C" w14:textId="063E9D92" w:rsidR="002F1310" w:rsidRPr="00EE1A25" w:rsidRDefault="00AF4142" w:rsidP="002F1310">
      <w:pPr>
        <w:ind w:left="567"/>
        <w:jc w:val="both"/>
        <w:rPr>
          <w:rFonts w:cs="Times New Roman"/>
          <w:lang w:val="pt-BR"/>
        </w:rPr>
      </w:pPr>
      <w:r w:rsidRPr="00EE1A25">
        <w:rPr>
          <w:rFonts w:cs="Times New Roman"/>
          <w:lang w:val="pt-BR"/>
        </w:rPr>
        <w:t xml:space="preserve">II – </w:t>
      </w:r>
      <w:proofErr w:type="gramStart"/>
      <w:r w:rsidRPr="00EE1A25">
        <w:rPr>
          <w:rFonts w:cs="Times New Roman"/>
          <w:lang w:val="pt-BR"/>
        </w:rPr>
        <w:t>ao</w:t>
      </w:r>
      <w:proofErr w:type="gramEnd"/>
      <w:r w:rsidRPr="00EE1A25">
        <w:rPr>
          <w:rFonts w:cs="Times New Roman"/>
          <w:lang w:val="pt-BR"/>
        </w:rPr>
        <w:t xml:space="preserve"> encaminhamento, pelo Município, de representação à entidade reguladora competente e ao poder concedente ou governança do serviço, para apuração de infração regulatória ou contratual e aplicação das penalidades pertinentes, inclusive multa regulatória ou contratual, quando cabível.</w:t>
      </w:r>
    </w:p>
    <w:p w14:paraId="52F2AB86" w14:textId="2CBAA92B" w:rsidR="002F1310" w:rsidRPr="00EE1A25" w:rsidRDefault="00AF4142" w:rsidP="003F23E4">
      <w:pPr>
        <w:ind w:firstLine="567"/>
        <w:jc w:val="both"/>
        <w:rPr>
          <w:rFonts w:cs="Times New Roman"/>
          <w:lang w:val="pt-BR"/>
        </w:rPr>
      </w:pPr>
      <w:r w:rsidRPr="00EE1A25">
        <w:rPr>
          <w:rFonts w:cs="Times New Roman"/>
          <w:lang w:val="pt-BR"/>
        </w:rPr>
        <w:lastRenderedPageBreak/>
        <w:t>Art. 3</w:t>
      </w:r>
      <w:r w:rsidR="00007D26" w:rsidRPr="00EE1A25">
        <w:rPr>
          <w:rFonts w:cs="Times New Roman"/>
          <w:lang w:val="pt-BR"/>
        </w:rPr>
        <w:t>0</w:t>
      </w:r>
      <w:r w:rsidRPr="00EE1A25">
        <w:rPr>
          <w:rFonts w:cs="Times New Roman"/>
          <w:lang w:val="pt-BR"/>
        </w:rPr>
        <w:t>. O Poder Executivo poderá expedir atos complementares estritamente necessários à execução desta Lei</w:t>
      </w:r>
      <w:r w:rsidR="00A5122E" w:rsidRPr="00EE1A25">
        <w:rPr>
          <w:rFonts w:cs="Times New Roman"/>
          <w:lang w:val="pt-BR"/>
        </w:rPr>
        <w:t>.</w:t>
      </w:r>
    </w:p>
    <w:p w14:paraId="4D0D0365" w14:textId="77777777" w:rsidR="003F23E4" w:rsidRPr="00EE1A25" w:rsidRDefault="003F23E4" w:rsidP="003F23E4">
      <w:pPr>
        <w:ind w:firstLine="567"/>
        <w:jc w:val="both"/>
        <w:rPr>
          <w:rFonts w:cs="Times New Roman"/>
          <w:lang w:val="pt-BR"/>
        </w:rPr>
      </w:pPr>
    </w:p>
    <w:p w14:paraId="597041EB" w14:textId="6BF84C09" w:rsidR="00D655DD" w:rsidRPr="00EE1A25" w:rsidRDefault="00AF4142">
      <w:pPr>
        <w:spacing w:before="240"/>
        <w:rPr>
          <w:rFonts w:cs="Times New Roman"/>
          <w:lang w:val="pt-BR"/>
        </w:rPr>
      </w:pPr>
      <w:r w:rsidRPr="00EE1A25">
        <w:rPr>
          <w:rFonts w:cs="Times New Roman"/>
          <w:b/>
          <w:lang w:val="pt-BR"/>
        </w:rPr>
        <w:t xml:space="preserve">CAPÍTULO </w:t>
      </w:r>
      <w:r w:rsidR="004C7E3B" w:rsidRPr="00EE1A25">
        <w:rPr>
          <w:rFonts w:cs="Times New Roman"/>
          <w:b/>
          <w:lang w:val="pt-BR"/>
        </w:rPr>
        <w:t>I</w:t>
      </w:r>
      <w:r w:rsidRPr="00EE1A25">
        <w:rPr>
          <w:rFonts w:cs="Times New Roman"/>
          <w:b/>
          <w:lang w:val="pt-BR"/>
        </w:rPr>
        <w:t>X – DISPOSIÇÕES FINAIS</w:t>
      </w:r>
    </w:p>
    <w:p w14:paraId="429DC271" w14:textId="76D7925A" w:rsidR="00D655DD" w:rsidRPr="00EE1A25" w:rsidRDefault="00AF4142">
      <w:pPr>
        <w:ind w:firstLine="567"/>
        <w:jc w:val="both"/>
        <w:rPr>
          <w:rFonts w:cs="Times New Roman"/>
          <w:lang w:val="pt-BR"/>
        </w:rPr>
      </w:pPr>
      <w:r w:rsidRPr="00EE1A25">
        <w:rPr>
          <w:rFonts w:cs="Times New Roman"/>
          <w:lang w:val="pt-BR"/>
        </w:rPr>
        <w:t>Art. 3</w:t>
      </w:r>
      <w:r w:rsidR="003F23E4" w:rsidRPr="00EE1A25">
        <w:rPr>
          <w:rFonts w:cs="Times New Roman"/>
          <w:lang w:val="pt-BR"/>
        </w:rPr>
        <w:t>2</w:t>
      </w:r>
      <w:r w:rsidR="00007D26" w:rsidRPr="00EE1A25">
        <w:rPr>
          <w:rFonts w:cs="Times New Roman"/>
          <w:lang w:val="pt-BR"/>
        </w:rPr>
        <w:t>1</w:t>
      </w:r>
      <w:r w:rsidRPr="00EE1A25">
        <w:rPr>
          <w:rFonts w:cs="Times New Roman"/>
          <w:lang w:val="pt-BR"/>
        </w:rPr>
        <w:t>. Esta Lei entra em vigor na data de sua publicação.</w:t>
      </w:r>
    </w:p>
    <w:p w14:paraId="39393C5F" w14:textId="77777777" w:rsidR="00D655DD" w:rsidRPr="00EE1A25" w:rsidRDefault="00D655DD">
      <w:pPr>
        <w:rPr>
          <w:rFonts w:cs="Times New Roman"/>
          <w:lang w:val="pt-BR"/>
        </w:rPr>
      </w:pPr>
    </w:p>
    <w:p w14:paraId="194DDE04" w14:textId="77777777" w:rsidR="00EE1A25" w:rsidRPr="00EE1A25" w:rsidRDefault="00EE1A25" w:rsidP="001B71F4">
      <w:pPr>
        <w:spacing w:before="240"/>
        <w:jc w:val="center"/>
        <w:rPr>
          <w:rFonts w:cs="Times New Roman"/>
          <w:lang w:val="pt-BR"/>
        </w:rPr>
      </w:pPr>
    </w:p>
    <w:p w14:paraId="63CDE1C0" w14:textId="6E56F6FB" w:rsidR="00D655DD" w:rsidRPr="00EE1A25" w:rsidRDefault="00AF4142" w:rsidP="001B71F4">
      <w:pPr>
        <w:spacing w:before="240"/>
        <w:jc w:val="center"/>
        <w:rPr>
          <w:rFonts w:cs="Times New Roman"/>
          <w:lang w:val="pt-BR"/>
        </w:rPr>
      </w:pPr>
      <w:r w:rsidRPr="00EE1A25">
        <w:rPr>
          <w:rFonts w:cs="Times New Roman"/>
          <w:lang w:val="pt-BR"/>
        </w:rPr>
        <w:t xml:space="preserve">Sala das Sessões, Aracaju/SE, ___ de __________ </w:t>
      </w:r>
      <w:proofErr w:type="spellStart"/>
      <w:r w:rsidRPr="00EE1A25">
        <w:rPr>
          <w:rFonts w:cs="Times New Roman"/>
          <w:lang w:val="pt-BR"/>
        </w:rPr>
        <w:t>de</w:t>
      </w:r>
      <w:proofErr w:type="spellEnd"/>
      <w:r w:rsidRPr="00EE1A25">
        <w:rPr>
          <w:rFonts w:cs="Times New Roman"/>
          <w:lang w:val="pt-BR"/>
        </w:rPr>
        <w:t xml:space="preserve"> 2026.</w:t>
      </w:r>
    </w:p>
    <w:p w14:paraId="68B4BF55" w14:textId="77777777" w:rsidR="00EE1A25" w:rsidRPr="00EE1A25" w:rsidRDefault="00EE1A25" w:rsidP="001B71F4">
      <w:pPr>
        <w:spacing w:before="240"/>
        <w:jc w:val="center"/>
        <w:rPr>
          <w:rFonts w:cs="Times New Roman"/>
          <w:lang w:val="pt-BR"/>
        </w:rPr>
      </w:pPr>
    </w:p>
    <w:p w14:paraId="537740C4" w14:textId="468756DA" w:rsidR="001B71F4" w:rsidRPr="00EE1A25" w:rsidRDefault="00007D26">
      <w:pPr>
        <w:rPr>
          <w:rFonts w:cs="Times New Roman"/>
          <w:b/>
          <w:lang w:val="pt-BR"/>
        </w:rPr>
      </w:pPr>
      <w:r w:rsidRPr="00EE1A25">
        <w:rPr>
          <w:rFonts w:cs="Times New Roman"/>
          <w:noProof/>
          <w:color w:val="000000"/>
          <w:sz w:val="22"/>
          <w:bdr w:val="none" w:sz="0" w:space="0" w:color="auto" w:frame="1"/>
          <w:lang w:val="pt-BR"/>
        </w:rPr>
        <w:drawing>
          <wp:anchor distT="0" distB="0" distL="114300" distR="114300" simplePos="0" relativeHeight="251660288" behindDoc="0" locked="0" layoutInCell="1" allowOverlap="1" wp14:anchorId="6F2FC1CB" wp14:editId="13DE9059">
            <wp:simplePos x="0" y="0"/>
            <wp:positionH relativeFrom="page">
              <wp:align>center</wp:align>
            </wp:positionH>
            <wp:positionV relativeFrom="paragraph">
              <wp:posOffset>25508</wp:posOffset>
            </wp:positionV>
            <wp:extent cx="1692807" cy="552091"/>
            <wp:effectExtent l="0" t="0" r="0" b="635"/>
            <wp:wrapNone/>
            <wp:docPr id="1683415438" name="Imagem 1"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67051" name="Imagem 1" descr="Fundo preto com letras brancas&#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2807" cy="5520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4013B" w14:textId="54972C32" w:rsidR="001B71F4" w:rsidRPr="00EE1A25" w:rsidRDefault="001B71F4" w:rsidP="001B71F4">
      <w:pPr>
        <w:spacing w:after="0" w:line="240" w:lineRule="auto"/>
        <w:jc w:val="center"/>
        <w:rPr>
          <w:rFonts w:cs="Times New Roman"/>
          <w:b/>
          <w:szCs w:val="24"/>
          <w:lang w:val="pt-BR"/>
        </w:rPr>
      </w:pPr>
    </w:p>
    <w:p w14:paraId="32A003A2" w14:textId="77777777" w:rsidR="001B71F4" w:rsidRPr="00EE1A25" w:rsidRDefault="001B71F4" w:rsidP="001B71F4">
      <w:pPr>
        <w:spacing w:after="0" w:line="240" w:lineRule="auto"/>
        <w:jc w:val="center"/>
        <w:rPr>
          <w:rFonts w:cs="Times New Roman"/>
          <w:b/>
          <w:szCs w:val="24"/>
          <w:lang w:val="pt-BR"/>
        </w:rPr>
      </w:pPr>
      <w:r w:rsidRPr="00EE1A25">
        <w:rPr>
          <w:rFonts w:cs="Times New Roman"/>
          <w:b/>
          <w:szCs w:val="24"/>
          <w:lang w:val="pt-BR"/>
        </w:rPr>
        <w:t>Nitinho Vitale</w:t>
      </w:r>
    </w:p>
    <w:p w14:paraId="3FB83777" w14:textId="77777777" w:rsidR="001B71F4" w:rsidRPr="00EE1A25" w:rsidRDefault="001B71F4" w:rsidP="001B71F4">
      <w:pPr>
        <w:spacing w:after="0" w:line="240" w:lineRule="auto"/>
        <w:jc w:val="center"/>
        <w:rPr>
          <w:rFonts w:cs="Times New Roman"/>
          <w:b/>
          <w:szCs w:val="24"/>
          <w:lang w:val="pt-BR"/>
        </w:rPr>
      </w:pPr>
      <w:r w:rsidRPr="00EE1A25">
        <w:rPr>
          <w:rFonts w:cs="Times New Roman"/>
          <w:b/>
          <w:szCs w:val="24"/>
          <w:lang w:val="pt-BR"/>
        </w:rPr>
        <w:t>Vereador do Município de Aracaju/SE (PSD)</w:t>
      </w:r>
    </w:p>
    <w:p w14:paraId="4FD475CF" w14:textId="37516498" w:rsidR="00D655DD" w:rsidRPr="00EE1A25" w:rsidRDefault="00AF4142" w:rsidP="00A5122E">
      <w:pPr>
        <w:jc w:val="center"/>
        <w:rPr>
          <w:rFonts w:cs="Times New Roman"/>
          <w:lang w:val="pt-BR"/>
        </w:rPr>
      </w:pPr>
      <w:r w:rsidRPr="00EE1A25">
        <w:rPr>
          <w:rFonts w:cs="Times New Roman"/>
          <w:lang w:val="pt-BR"/>
        </w:rPr>
        <w:br w:type="page"/>
      </w:r>
      <w:r w:rsidRPr="00EE1A25">
        <w:rPr>
          <w:rFonts w:cs="Times New Roman"/>
          <w:b/>
          <w:sz w:val="28"/>
          <w:lang w:val="pt-BR"/>
        </w:rPr>
        <w:lastRenderedPageBreak/>
        <w:t>JUSTIFICATIVA</w:t>
      </w:r>
    </w:p>
    <w:p w14:paraId="24B87518" w14:textId="5033F606" w:rsidR="00D655DD" w:rsidRPr="00EE1A25" w:rsidRDefault="00AF4142">
      <w:pPr>
        <w:ind w:firstLine="567"/>
        <w:jc w:val="both"/>
        <w:rPr>
          <w:rFonts w:cs="Times New Roman"/>
          <w:lang w:val="pt-BR"/>
        </w:rPr>
      </w:pPr>
      <w:r w:rsidRPr="00EE1A25">
        <w:rPr>
          <w:rFonts w:cs="Times New Roman"/>
          <w:lang w:val="pt-BR"/>
        </w:rPr>
        <w:t xml:space="preserve">O presente Projeto de Lei consolida, no Município de Aracaju, um padrão mínimo de proteção ao usuário e consumidor dos serviços essenciais de abastecimento de água e esgotamento sanitário, com foco em problemas recorrentes de alta sensibilidade social: faturas fora do padrão, consumo atípico, transparência de leitura e critérios de cobrança, devido processo para suspensão, e resposta objetiva </w:t>
      </w:r>
      <w:r w:rsidR="00007D26" w:rsidRPr="00EE1A25">
        <w:rPr>
          <w:rFonts w:cs="Times New Roman"/>
          <w:lang w:val="pt-BR"/>
        </w:rPr>
        <w:t>a</w:t>
      </w:r>
      <w:r w:rsidRPr="00EE1A25">
        <w:rPr>
          <w:rFonts w:cs="Times New Roman"/>
          <w:lang w:val="pt-BR"/>
        </w:rPr>
        <w:t xml:space="preserve"> desabastecimento.</w:t>
      </w:r>
    </w:p>
    <w:p w14:paraId="5370ECF7" w14:textId="77777777" w:rsidR="00D655DD" w:rsidRPr="00EE1A25" w:rsidRDefault="00AF4142">
      <w:pPr>
        <w:ind w:firstLine="567"/>
        <w:jc w:val="both"/>
        <w:rPr>
          <w:rFonts w:cs="Times New Roman"/>
          <w:lang w:val="pt-BR"/>
        </w:rPr>
      </w:pPr>
      <w:r w:rsidRPr="00EE1A25">
        <w:rPr>
          <w:rFonts w:cs="Times New Roman"/>
          <w:lang w:val="pt-BR"/>
        </w:rPr>
        <w:t>A proposta não fixa tarifas nem substitui a regulação técnica. Seu objetivo é estabelecer deveres de informação, transparência, procedimento e garantias mínimas de atendimento, reforçando a boa-fé objetiva e a eficiência na solução de conflitos, com redução da judicialização e aumento de previsibilidade.</w:t>
      </w:r>
    </w:p>
    <w:p w14:paraId="2E3F9201" w14:textId="77777777" w:rsidR="00D655DD" w:rsidRPr="00EE1A25" w:rsidRDefault="00AF4142">
      <w:pPr>
        <w:ind w:firstLine="567"/>
        <w:jc w:val="both"/>
        <w:rPr>
          <w:rFonts w:cs="Times New Roman"/>
          <w:lang w:val="pt-BR"/>
        </w:rPr>
      </w:pPr>
      <w:r w:rsidRPr="00EE1A25">
        <w:rPr>
          <w:rFonts w:cs="Times New Roman"/>
          <w:lang w:val="pt-BR"/>
        </w:rPr>
        <w:t>Como medida prática e imediata de continuidade do serviço, o texto assegura que, no ato da visita destinada ao corte por inadimplência, seja oportunizada ao consumidor a quitação do débito por PIX ou cartão antes da interrupção, evitando custos indevidos quando não houver desligamento e garantindo solução eficiente no local.</w:t>
      </w:r>
    </w:p>
    <w:p w14:paraId="57D0F4C6" w14:textId="77777777" w:rsidR="00D655DD" w:rsidRPr="00EE1A25" w:rsidRDefault="00AF4142">
      <w:pPr>
        <w:ind w:firstLine="567"/>
        <w:jc w:val="both"/>
        <w:rPr>
          <w:rFonts w:cs="Times New Roman"/>
          <w:lang w:val="pt-BR"/>
        </w:rPr>
      </w:pPr>
      <w:r w:rsidRPr="00EE1A25">
        <w:rPr>
          <w:rFonts w:cs="Times New Roman"/>
          <w:lang w:val="pt-BR"/>
        </w:rPr>
        <w:t>Também se disciplina o tratamento de faturas com consumo manifestamente fora do padrão histórico, assegurando, uma vez a cada 12 (doze) meses, a revisão administrativa para refaturamento pela média, com salvaguardas técnicas e procedimentais.</w:t>
      </w:r>
    </w:p>
    <w:p w14:paraId="064B238E" w14:textId="77777777" w:rsidR="00D655DD" w:rsidRPr="00EE1A25" w:rsidRDefault="00AF4142">
      <w:pPr>
        <w:ind w:firstLine="567"/>
        <w:jc w:val="both"/>
        <w:rPr>
          <w:rFonts w:cs="Times New Roman"/>
          <w:lang w:val="pt-BR"/>
        </w:rPr>
      </w:pPr>
      <w:r w:rsidRPr="00EE1A25">
        <w:rPr>
          <w:rFonts w:cs="Times New Roman"/>
          <w:lang w:val="pt-BR"/>
        </w:rPr>
        <w:t>Em complemento, o Projeto estabelece instrumentos mínimos de transparência sobre interrupções (Painel Público de Interrupções) e prevê crédito compensatório ao usuário em hipóteses objetivas de desabastecimento relevante, com metodologia preferencialmente definida pela regulação competente e regra subsidiária de abatimento proporcional quando inexistente, assegurando rastreabilidade e clareza na fatura.</w:t>
      </w:r>
    </w:p>
    <w:p w14:paraId="3EBA73A1" w14:textId="77777777" w:rsidR="001B71F4" w:rsidRPr="00EE1A25" w:rsidRDefault="00AF4142" w:rsidP="001B71F4">
      <w:pPr>
        <w:ind w:firstLine="567"/>
        <w:jc w:val="both"/>
        <w:rPr>
          <w:rFonts w:cs="Times New Roman"/>
          <w:lang w:val="pt-BR"/>
        </w:rPr>
      </w:pPr>
      <w:r w:rsidRPr="00EE1A25">
        <w:rPr>
          <w:rFonts w:cs="Times New Roman"/>
          <w:lang w:val="pt-BR"/>
        </w:rPr>
        <w:t>Por fim, preserva-se a repartição de competências: o Município atua pela via consumerista e pela representação aos órgãos competentes, para apuração de infrações regulatórias ou contratuais, sem invadir a esfera técnica do regulador e sem comprometer a higidez do contrato de concessão.</w:t>
      </w:r>
    </w:p>
    <w:p w14:paraId="6C05E713" w14:textId="77777777" w:rsidR="00EE1A25" w:rsidRPr="00EE1A25" w:rsidRDefault="00EE1A25" w:rsidP="001B71F4">
      <w:pPr>
        <w:ind w:firstLine="567"/>
        <w:jc w:val="both"/>
        <w:rPr>
          <w:rFonts w:cs="Times New Roman"/>
          <w:lang w:val="pt-BR"/>
        </w:rPr>
      </w:pPr>
    </w:p>
    <w:p w14:paraId="45E7F39E" w14:textId="791D16F0" w:rsidR="00D655DD" w:rsidRPr="00EE1A25" w:rsidRDefault="00AF4142" w:rsidP="001B71F4">
      <w:pPr>
        <w:ind w:firstLine="567"/>
        <w:jc w:val="both"/>
        <w:rPr>
          <w:rFonts w:cs="Times New Roman"/>
          <w:lang w:val="pt-BR"/>
        </w:rPr>
      </w:pPr>
      <w:r w:rsidRPr="00EE1A25">
        <w:rPr>
          <w:rFonts w:cs="Times New Roman"/>
          <w:lang w:val="pt-BR"/>
        </w:rPr>
        <w:t xml:space="preserve">Sala das Sessões, Aracaju/SE, ___ de __________ </w:t>
      </w:r>
      <w:proofErr w:type="spellStart"/>
      <w:r w:rsidRPr="00EE1A25">
        <w:rPr>
          <w:rFonts w:cs="Times New Roman"/>
          <w:lang w:val="pt-BR"/>
        </w:rPr>
        <w:t>de</w:t>
      </w:r>
      <w:proofErr w:type="spellEnd"/>
      <w:r w:rsidRPr="00EE1A25">
        <w:rPr>
          <w:rFonts w:cs="Times New Roman"/>
          <w:lang w:val="pt-BR"/>
        </w:rPr>
        <w:t xml:space="preserve"> 2026.</w:t>
      </w:r>
    </w:p>
    <w:p w14:paraId="1A7D28FF" w14:textId="77777777" w:rsidR="001B71F4" w:rsidRPr="00EE1A25" w:rsidRDefault="001B71F4" w:rsidP="001B71F4">
      <w:pPr>
        <w:spacing w:after="0" w:line="240" w:lineRule="auto"/>
        <w:jc w:val="center"/>
        <w:rPr>
          <w:rFonts w:cs="Times New Roman"/>
          <w:szCs w:val="24"/>
          <w:lang w:val="pt-BR"/>
        </w:rPr>
      </w:pPr>
    </w:p>
    <w:p w14:paraId="47FC06C7" w14:textId="33B71F18" w:rsidR="00007D26" w:rsidRPr="00EE1A25" w:rsidRDefault="00007D26" w:rsidP="001B71F4">
      <w:pPr>
        <w:spacing w:after="0" w:line="240" w:lineRule="auto"/>
        <w:jc w:val="center"/>
        <w:rPr>
          <w:rFonts w:cs="Times New Roman"/>
          <w:szCs w:val="24"/>
          <w:lang w:val="pt-BR"/>
        </w:rPr>
      </w:pPr>
      <w:r w:rsidRPr="00EE1A25">
        <w:rPr>
          <w:rFonts w:cs="Times New Roman"/>
          <w:noProof/>
          <w:color w:val="000000"/>
          <w:sz w:val="22"/>
          <w:bdr w:val="none" w:sz="0" w:space="0" w:color="auto" w:frame="1"/>
          <w:lang w:val="pt-BR"/>
        </w:rPr>
        <w:drawing>
          <wp:anchor distT="0" distB="0" distL="114300" distR="114300" simplePos="0" relativeHeight="251658240" behindDoc="0" locked="0" layoutInCell="1" allowOverlap="1" wp14:anchorId="57BFF955" wp14:editId="57BA73DB">
            <wp:simplePos x="0" y="0"/>
            <wp:positionH relativeFrom="column">
              <wp:posOffset>1809438</wp:posOffset>
            </wp:positionH>
            <wp:positionV relativeFrom="paragraph">
              <wp:posOffset>14162</wp:posOffset>
            </wp:positionV>
            <wp:extent cx="1889184" cy="616138"/>
            <wp:effectExtent l="0" t="0" r="0" b="0"/>
            <wp:wrapNone/>
            <wp:docPr id="108767051" name="Imagem 1"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67051" name="Imagem 1" descr="Fundo preto com letras brancas&#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184" cy="61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6B0BD3" w14:textId="17E1278E" w:rsidR="00007D26" w:rsidRPr="00EE1A25" w:rsidRDefault="00007D26" w:rsidP="001B71F4">
      <w:pPr>
        <w:spacing w:after="0" w:line="240" w:lineRule="auto"/>
        <w:jc w:val="center"/>
        <w:rPr>
          <w:rFonts w:cs="Times New Roman"/>
          <w:szCs w:val="24"/>
          <w:lang w:val="pt-BR"/>
        </w:rPr>
      </w:pPr>
    </w:p>
    <w:p w14:paraId="523D8AC8" w14:textId="7BECD370" w:rsidR="00007D26" w:rsidRPr="00EE1A25" w:rsidRDefault="00007D26" w:rsidP="001B71F4">
      <w:pPr>
        <w:spacing w:after="0" w:line="240" w:lineRule="auto"/>
        <w:jc w:val="center"/>
        <w:rPr>
          <w:rFonts w:cs="Times New Roman"/>
          <w:szCs w:val="24"/>
          <w:lang w:val="pt-BR"/>
        </w:rPr>
      </w:pPr>
    </w:p>
    <w:p w14:paraId="4E9A7DBA" w14:textId="77777777" w:rsidR="001B71F4" w:rsidRPr="00EE1A25" w:rsidRDefault="001B71F4" w:rsidP="001B71F4">
      <w:pPr>
        <w:spacing w:after="0" w:line="240" w:lineRule="auto"/>
        <w:jc w:val="center"/>
        <w:rPr>
          <w:rFonts w:cs="Times New Roman"/>
          <w:szCs w:val="24"/>
          <w:lang w:val="pt-BR"/>
        </w:rPr>
      </w:pPr>
      <w:r w:rsidRPr="00EE1A25">
        <w:rPr>
          <w:rFonts w:cs="Times New Roman"/>
          <w:b/>
          <w:szCs w:val="24"/>
          <w:lang w:val="pt-BR"/>
        </w:rPr>
        <w:t>Nitinho Vitale</w:t>
      </w:r>
    </w:p>
    <w:p w14:paraId="17D6202A" w14:textId="77777777" w:rsidR="001B71F4" w:rsidRPr="00EE1A25" w:rsidRDefault="001B71F4" w:rsidP="001B71F4">
      <w:pPr>
        <w:spacing w:after="0" w:line="240" w:lineRule="auto"/>
        <w:jc w:val="center"/>
        <w:rPr>
          <w:rFonts w:cs="Times New Roman"/>
          <w:szCs w:val="24"/>
          <w:lang w:val="pt-BR"/>
        </w:rPr>
      </w:pPr>
      <w:r w:rsidRPr="00EE1A25">
        <w:rPr>
          <w:rFonts w:cs="Times New Roman"/>
          <w:b/>
          <w:szCs w:val="24"/>
          <w:lang w:val="pt-BR"/>
        </w:rPr>
        <w:t>Vereador do Município de Aracaju/SE (PSD)</w:t>
      </w:r>
    </w:p>
    <w:p w14:paraId="6E79D7E7" w14:textId="6457E1C5" w:rsidR="00D655DD" w:rsidRPr="00EE1A25" w:rsidRDefault="00D655DD" w:rsidP="001B71F4">
      <w:pPr>
        <w:rPr>
          <w:rFonts w:cs="Times New Roman"/>
          <w:lang w:val="pt-BR"/>
        </w:rPr>
      </w:pPr>
    </w:p>
    <w:sectPr w:rsidR="00D655DD" w:rsidRPr="00EE1A25" w:rsidSect="00034616">
      <w:headerReference w:type="default" r:id="rId9"/>
      <w:pgSz w:w="12240" w:h="15840"/>
      <w:pgMar w:top="1417" w:right="1134"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B1D2" w14:textId="77777777" w:rsidR="0055749B" w:rsidRDefault="0055749B" w:rsidP="00EE1A25">
      <w:pPr>
        <w:spacing w:after="0" w:line="240" w:lineRule="auto"/>
      </w:pPr>
      <w:r>
        <w:separator/>
      </w:r>
    </w:p>
  </w:endnote>
  <w:endnote w:type="continuationSeparator" w:id="0">
    <w:p w14:paraId="3A8450DC" w14:textId="77777777" w:rsidR="0055749B" w:rsidRDefault="0055749B" w:rsidP="00EE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2CBD" w14:textId="77777777" w:rsidR="0055749B" w:rsidRDefault="0055749B" w:rsidP="00EE1A25">
      <w:pPr>
        <w:spacing w:after="0" w:line="240" w:lineRule="auto"/>
      </w:pPr>
      <w:r>
        <w:separator/>
      </w:r>
    </w:p>
  </w:footnote>
  <w:footnote w:type="continuationSeparator" w:id="0">
    <w:p w14:paraId="1186151C" w14:textId="77777777" w:rsidR="0055749B" w:rsidRDefault="0055749B" w:rsidP="00EE1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C4AD" w14:textId="2588F8CB" w:rsidR="00EE1A25" w:rsidRDefault="00EE1A25" w:rsidP="00EE1A25">
    <w:pPr>
      <w:pBdr>
        <w:top w:val="nil"/>
        <w:left w:val="nil"/>
        <w:bottom w:val="nil"/>
        <w:right w:val="nil"/>
        <w:between w:val="nil"/>
      </w:pBdr>
      <w:jc w:val="center"/>
      <w:rPr>
        <w:b/>
        <w:bCs/>
        <w:color w:val="000000"/>
        <w:sz w:val="28"/>
        <w:szCs w:val="28"/>
        <w:u w:val="single"/>
      </w:rPr>
    </w:pPr>
    <w:r>
      <w:rPr>
        <w:b/>
        <w:bCs/>
        <w:noProof/>
        <w:color w:val="000000"/>
      </w:rPr>
      <w:drawing>
        <wp:inline distT="0" distB="0" distL="0" distR="0" wp14:anchorId="5E5DA11C" wp14:editId="48FAA855">
          <wp:extent cx="715645" cy="71374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15645" cy="713740"/>
                  </a:xfrm>
                  <a:prstGeom prst="rect">
                    <a:avLst/>
                  </a:prstGeom>
                  <a:ln/>
                </pic:spPr>
              </pic:pic>
            </a:graphicData>
          </a:graphic>
        </wp:inline>
      </w:drawing>
    </w:r>
  </w:p>
  <w:p w14:paraId="1DDAFAB0" w14:textId="77777777" w:rsidR="00EE1A25" w:rsidRDefault="00EE1A25" w:rsidP="00EE1A25">
    <w:pPr>
      <w:pBdr>
        <w:top w:val="nil"/>
        <w:left w:val="nil"/>
        <w:bottom w:val="nil"/>
        <w:right w:val="nil"/>
        <w:between w:val="nil"/>
      </w:pBdr>
      <w:jc w:val="center"/>
      <w:rPr>
        <w:b/>
        <w:bCs/>
        <w:color w:val="000000"/>
        <w:sz w:val="22"/>
      </w:rPr>
    </w:pPr>
    <w:r>
      <w:rPr>
        <w:rFonts w:cs="Times New Roman"/>
        <w:b/>
        <w:bCs/>
        <w:color w:val="000000"/>
        <w:sz w:val="22"/>
      </w:rPr>
      <w:t>ESTADO DE SERGIPE</w:t>
    </w:r>
  </w:p>
  <w:p w14:paraId="3AB10BEF" w14:textId="030D1414" w:rsidR="00EE1A25" w:rsidRPr="00EE1A25" w:rsidRDefault="00EE1A25" w:rsidP="00EE1A25">
    <w:pPr>
      <w:pBdr>
        <w:top w:val="nil"/>
        <w:left w:val="nil"/>
        <w:bottom w:val="nil"/>
        <w:right w:val="nil"/>
        <w:between w:val="nil"/>
      </w:pBdr>
      <w:jc w:val="center"/>
      <w:rPr>
        <w:b/>
        <w:bCs/>
        <w:color w:val="000000"/>
        <w:sz w:val="22"/>
      </w:rPr>
    </w:pPr>
    <w:r>
      <w:rPr>
        <w:rFonts w:cs="Times New Roman"/>
        <w:b/>
        <w:bCs/>
        <w:color w:val="000000"/>
        <w:sz w:val="22"/>
      </w:rPr>
      <w:t>CÂMARA MUNICIPAL DE ARACAJU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1736732360">
    <w:abstractNumId w:val="8"/>
  </w:num>
  <w:num w:numId="2" w16cid:durableId="143933996">
    <w:abstractNumId w:val="6"/>
  </w:num>
  <w:num w:numId="3" w16cid:durableId="766266014">
    <w:abstractNumId w:val="5"/>
  </w:num>
  <w:num w:numId="4" w16cid:durableId="382411054">
    <w:abstractNumId w:val="4"/>
  </w:num>
  <w:num w:numId="5" w16cid:durableId="44107016">
    <w:abstractNumId w:val="7"/>
  </w:num>
  <w:num w:numId="6" w16cid:durableId="212349080">
    <w:abstractNumId w:val="3"/>
  </w:num>
  <w:num w:numId="7" w16cid:durableId="1122960675">
    <w:abstractNumId w:val="2"/>
  </w:num>
  <w:num w:numId="8" w16cid:durableId="803884613">
    <w:abstractNumId w:val="1"/>
  </w:num>
  <w:num w:numId="9" w16cid:durableId="25775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D26"/>
    <w:rsid w:val="00034616"/>
    <w:rsid w:val="0006063C"/>
    <w:rsid w:val="0015074B"/>
    <w:rsid w:val="001B07D6"/>
    <w:rsid w:val="001B71F4"/>
    <w:rsid w:val="0029639D"/>
    <w:rsid w:val="002F1310"/>
    <w:rsid w:val="00326F90"/>
    <w:rsid w:val="0036687B"/>
    <w:rsid w:val="00376058"/>
    <w:rsid w:val="003A31CF"/>
    <w:rsid w:val="003F23E4"/>
    <w:rsid w:val="004C7E3B"/>
    <w:rsid w:val="0051400D"/>
    <w:rsid w:val="0055749B"/>
    <w:rsid w:val="0058752F"/>
    <w:rsid w:val="005B16D0"/>
    <w:rsid w:val="005C1003"/>
    <w:rsid w:val="00833571"/>
    <w:rsid w:val="008F3F62"/>
    <w:rsid w:val="009458D5"/>
    <w:rsid w:val="009F52D8"/>
    <w:rsid w:val="00A5122E"/>
    <w:rsid w:val="00A60520"/>
    <w:rsid w:val="00AA1D8D"/>
    <w:rsid w:val="00AF4142"/>
    <w:rsid w:val="00B47730"/>
    <w:rsid w:val="00B75001"/>
    <w:rsid w:val="00C572FD"/>
    <w:rsid w:val="00CB0664"/>
    <w:rsid w:val="00D655DD"/>
    <w:rsid w:val="00D76BEE"/>
    <w:rsid w:val="00D934C8"/>
    <w:rsid w:val="00EE1A25"/>
    <w:rsid w:val="00FC693F"/>
    <w:rsid w:val="00FE1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3329FE"/>
  <w14:defaultImageDpi w14:val="300"/>
  <w15:docId w15:val="{2AF8B0B3-CC42-4159-9A8C-417B40C2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310"/>
    <w:pPr>
      <w:spacing w:after="120"/>
    </w:pPr>
    <w:rPr>
      <w:rFonts w:ascii="Times New Roman" w:eastAsia="Times New Roman" w:hAnsi="Times New Roman"/>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ind w:left="360"/>
      <w:contextualSpacing/>
    </w:pPr>
  </w:style>
  <w:style w:type="paragraph" w:styleId="Listadecontinuao2">
    <w:name w:val="List Continue 2"/>
    <w:basedOn w:val="Normal"/>
    <w:uiPriority w:val="99"/>
    <w:unhideWhenUsed/>
    <w:rsid w:val="0029639D"/>
    <w:pPr>
      <w:ind w:left="720"/>
      <w:contextualSpacing/>
    </w:pPr>
  </w:style>
  <w:style w:type="paragraph" w:styleId="Listadecontinuao3">
    <w:name w:val="List Continue 3"/>
    <w:basedOn w:val="Normal"/>
    <w:uiPriority w:val="99"/>
    <w:unhideWhenUsed/>
    <w:rsid w:val="0029639D"/>
    <w:pPr>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2423</Words>
  <Characters>13085</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Salvelina Moraes dos Santos</cp:lastModifiedBy>
  <cp:revision>2</cp:revision>
  <dcterms:created xsi:type="dcterms:W3CDTF">2026-02-20T17:55:00Z</dcterms:created>
  <dcterms:modified xsi:type="dcterms:W3CDTF">2026-02-20T17:55:00Z</dcterms:modified>
  <cp:category/>
</cp:coreProperties>
</file>