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A929" w14:textId="77777777" w:rsidR="00CE5136" w:rsidRPr="00A620D4" w:rsidRDefault="00CE5136">
      <w:pPr>
        <w:pStyle w:val="normal1"/>
        <w:rPr>
          <w:rStyle w:val="Forte"/>
          <w:rFonts w:ascii="Times New Roman" w:hAnsi="Times New Roman" w:cs="Times New Roman"/>
          <w:sz w:val="24"/>
          <w:szCs w:val="24"/>
        </w:rPr>
      </w:pPr>
    </w:p>
    <w:p w14:paraId="3ABB71AC" w14:textId="77777777" w:rsidR="00CE5136" w:rsidRPr="00A620D4" w:rsidRDefault="008B2E18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sz w:val="24"/>
          <w:szCs w:val="24"/>
        </w:rPr>
        <w:t>PROJETO DE LEI Nº ____/2025</w:t>
      </w:r>
    </w:p>
    <w:p w14:paraId="44049CFD" w14:textId="77777777" w:rsidR="00CE5136" w:rsidRPr="00A620D4" w:rsidRDefault="00CE5136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B5E08" w14:textId="77777777" w:rsidR="00E05034" w:rsidRPr="00A620D4" w:rsidRDefault="00E0503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0077705" w14:textId="77777777" w:rsidR="00CE5136" w:rsidRPr="00A620D4" w:rsidRDefault="008B2E1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Autoria: Vereadora Professora Sonia Meire</w:t>
      </w:r>
    </w:p>
    <w:p w14:paraId="0163373F" w14:textId="77777777" w:rsidR="00E05034" w:rsidRPr="00A620D4" w:rsidRDefault="00E0503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96DBDE1" w14:textId="77777777" w:rsidR="00CE5136" w:rsidRPr="00A620D4" w:rsidRDefault="00CE5136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21A2A05" w14:textId="77777777" w:rsidR="00CE5136" w:rsidRPr="00A620D4" w:rsidRDefault="008B2E18" w:rsidP="00A620D4">
      <w:pPr>
        <w:pStyle w:val="normal1"/>
        <w:spacing w:line="276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DISPÕE SOBRE PRINCÍPIOS E DIRETRIZES PARA A ELABORAÇÃO E IMPLEMENTAÇÃO DE POLÍTICAS PÚBLICAS VOLTADAS PARA A DEFESA DA CONSERVAÇÃO E USO SUSTENTÁVEL DOS MANGUEZAIS NO ÂMBITO DO MUNICÍPIO DE ARACAJU.</w:t>
      </w:r>
    </w:p>
    <w:p w14:paraId="00CADBA9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98DB5" w14:textId="7777777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sz w:val="24"/>
          <w:szCs w:val="24"/>
        </w:rPr>
        <w:t>O Prefeito do Município de Aracaju</w:t>
      </w:r>
    </w:p>
    <w:p w14:paraId="639E0BC8" w14:textId="042FA6D1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Faz saber que a Câmara de Vereadores de Aracaju aprovou e ele sanciona a seguinte </w:t>
      </w:r>
      <w:r w:rsidR="00A72628" w:rsidRPr="00A620D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ei: </w:t>
      </w:r>
    </w:p>
    <w:p w14:paraId="4136D161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B6009" w14:textId="3BFCC041" w:rsidR="00CE5136" w:rsidRPr="00A620D4" w:rsidRDefault="00A300A6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72628" w:rsidRPr="00A620D4">
        <w:rPr>
          <w:rFonts w:ascii="Times New Roman" w:eastAsia="Times New Roman" w:hAnsi="Times New Roman" w:cs="Times New Roman"/>
          <w:sz w:val="24"/>
          <w:szCs w:val="24"/>
        </w:rPr>
        <w:t>presente L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ei estabelece princípios e diretrizes para a elaboração e implementação de políticas públicas que garantam a defesa da conservação e uso sustentável dos manguezais no âmbito do </w:t>
      </w:r>
      <w:r w:rsidR="00A72628" w:rsidRPr="00A620D4">
        <w:rPr>
          <w:rFonts w:ascii="Times New Roman" w:eastAsia="Times New Roman" w:hAnsi="Times New Roman" w:cs="Times New Roman"/>
          <w:sz w:val="24"/>
          <w:szCs w:val="24"/>
        </w:rPr>
        <w:t>M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unicípio de Aracaju.</w:t>
      </w:r>
    </w:p>
    <w:p w14:paraId="22702565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74B5D" w14:textId="7953EF3B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O Município desenvolverá políticas públicas visando assegurar a conservação, recuperação e uso sustentável da biodiversidade</w:t>
      </w:r>
      <w:r w:rsidR="00A72628" w:rsidRPr="00A620D4">
        <w:rPr>
          <w:rFonts w:ascii="Times New Roman" w:eastAsia="Times New Roman" w:hAnsi="Times New Roman" w:cs="Times New Roman"/>
          <w:sz w:val="24"/>
          <w:szCs w:val="24"/>
        </w:rPr>
        <w:t xml:space="preserve">, bem como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dos serviços ecossistêmicos associados aos manguezais, </w:t>
      </w:r>
      <w:r w:rsidR="00A72628" w:rsidRPr="00A620D4">
        <w:rPr>
          <w:rFonts w:ascii="Times New Roman" w:eastAsia="Times New Roman" w:hAnsi="Times New Roman" w:cs="Times New Roman"/>
          <w:sz w:val="24"/>
          <w:szCs w:val="24"/>
        </w:rPr>
        <w:t xml:space="preserve">levando em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considera</w:t>
      </w:r>
      <w:r w:rsidR="00A72628" w:rsidRPr="00A620D4">
        <w:rPr>
          <w:rFonts w:ascii="Times New Roman" w:eastAsia="Times New Roman" w:hAnsi="Times New Roman" w:cs="Times New Roman"/>
          <w:sz w:val="24"/>
          <w:szCs w:val="24"/>
        </w:rPr>
        <w:t>ção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as diversas pressões sobre o ecossistema, incluindo a mudança do clima.</w:t>
      </w:r>
    </w:p>
    <w:p w14:paraId="06F3070E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25684" w14:textId="5A46AA6A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único.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 Para assegurar a efetividade das ações de conservação,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recuperação e uso sustentável dos manguezais, deverá ser considerada a integralidade do ecossistema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 indissociabilidade de suas feições, constituídas p</w:t>
      </w:r>
      <w:r w:rsidR="00A300A6" w:rsidRPr="00A620D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lavado, bosque de mangue e apicum.</w:t>
      </w:r>
    </w:p>
    <w:p w14:paraId="3B9DC2CC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86371" w14:textId="0B1EEAA0" w:rsidR="00E05034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As políticas públicas, programas, planos e projetos voltados à defesa da conservação e uso sustentável dos manguezais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obedecerão aos seguintes princípios:</w:t>
      </w:r>
    </w:p>
    <w:p w14:paraId="3A6C774C" w14:textId="3C1BA569" w:rsidR="00E05034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 - o reconhecimento das funções ecológica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geológica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genética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socia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econômica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educaciona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cultura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 estética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do ecossistema manguezal;</w:t>
      </w:r>
    </w:p>
    <w:p w14:paraId="6E296F01" w14:textId="0BA58A36" w:rsidR="00E05034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II - o reconhecimento dos serviços ecossistêmicos dos manguezais e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seu papel na mitigação e na adaptação à mudança do clima;</w:t>
      </w:r>
    </w:p>
    <w:p w14:paraId="469475BF" w14:textId="68B3DDA8" w:rsidR="00E05034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participação social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especialmente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das comunidades tradicionais, d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comunidades científicas e 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entidades de classe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como referências importantes na construção das políticas públicas e na gestão dos ecossistemas;</w:t>
      </w:r>
    </w:p>
    <w:p w14:paraId="3342F304" w14:textId="1B56981E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IV – 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prioridade 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investimento público 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 defesa de todo o ecossistema manguezal</w:t>
      </w:r>
      <w:r w:rsidR="00AC2351" w:rsidRPr="00A620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A71C130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D1505" w14:textId="0C4B910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4º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São </w:t>
      </w:r>
      <w:r w:rsidR="007465D7" w:rsidRPr="00A620D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iretrizes para a elaboração e implementação das políticas públicas </w:t>
      </w:r>
      <w:r w:rsidR="00BB4953" w:rsidRPr="00A620D4">
        <w:rPr>
          <w:rFonts w:ascii="Times New Roman" w:eastAsia="Times New Roman" w:hAnsi="Times New Roman" w:cs="Times New Roman"/>
          <w:sz w:val="24"/>
          <w:szCs w:val="24"/>
        </w:rPr>
        <w:t xml:space="preserve">que tratam esta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Lei:</w:t>
      </w:r>
    </w:p>
    <w:p w14:paraId="35EC3EB4" w14:textId="7777777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 - a articulação entre as esferas do governo federal, estadual e intermunicipal para o fortalecimento da gestão dos manguezais, por meio de instrumentos e mecanismos efetivos de governança;</w:t>
      </w:r>
    </w:p>
    <w:p w14:paraId="432E49B8" w14:textId="15FA275D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- a articulação e a integração com 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políticas públicas d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demais órgãos e entidades da administração pública;</w:t>
      </w:r>
    </w:p>
    <w:p w14:paraId="61CEF8E0" w14:textId="60185DCC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III - o incentivo ao estabelecimento de parcerias entre o setor público, as associações e organizações da sociedade civil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comunidades tradicionais e o envolvimento de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 xml:space="preserve"> outros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segmentos interessados 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 implementação;</w:t>
      </w:r>
    </w:p>
    <w:p w14:paraId="5C2E8BD4" w14:textId="7777777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IV - a abordagem ecossistêmica e de paisagem na gestão dos manguezais e de suas espécies;</w:t>
      </w:r>
    </w:p>
    <w:p w14:paraId="00B737C9" w14:textId="58810780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 - a gestão c</w:t>
      </w:r>
      <w:r w:rsidR="005E6BF7" w:rsidRPr="00A620D4">
        <w:rPr>
          <w:rFonts w:ascii="Times New Roman" w:eastAsia="Times New Roman" w:hAnsi="Times New Roman" w:cs="Times New Roman"/>
          <w:sz w:val="24"/>
          <w:szCs w:val="24"/>
        </w:rPr>
        <w:t xml:space="preserve">om base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no conhecimento científico e nos melhores dados e informações existentes, aplicando o princípio da precaução em caso de ausência de certeza científica devido à insuficiência de dados, informações ou conhecimentos;</w:t>
      </w:r>
    </w:p>
    <w:p w14:paraId="0FE3BF7D" w14:textId="7777777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VI - a valorização dos saberes tradicionais sobre a conservação e o uso sustentável dos manguezais;</w:t>
      </w:r>
    </w:p>
    <w:p w14:paraId="2F35CAFF" w14:textId="5CBD4A60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VII - a melhoria da qu</w:t>
      </w:r>
      <w:r w:rsidR="00D75E88" w:rsidRPr="00A620D4">
        <w:rPr>
          <w:rFonts w:ascii="Times New Roman" w:eastAsia="Times New Roman" w:hAnsi="Times New Roman" w:cs="Times New Roman"/>
          <w:sz w:val="24"/>
          <w:szCs w:val="24"/>
        </w:rPr>
        <w:t xml:space="preserve">alidade de vida dos povos e das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comunidades tradicionais que dependem diretamente do ecossistema manguezal</w:t>
      </w:r>
      <w:r w:rsidR="00992B1D" w:rsidRPr="00A620D4">
        <w:rPr>
          <w:rFonts w:ascii="Times New Roman" w:eastAsia="Times New Roman" w:hAnsi="Times New Roman" w:cs="Times New Roman"/>
          <w:sz w:val="24"/>
          <w:szCs w:val="24"/>
        </w:rPr>
        <w:t>, promovendo, ao me</w:t>
      </w:r>
      <w:r w:rsidR="00D75E88" w:rsidRPr="00A620D4">
        <w:rPr>
          <w:rFonts w:ascii="Times New Roman" w:eastAsia="Times New Roman" w:hAnsi="Times New Roman" w:cs="Times New Roman"/>
          <w:sz w:val="24"/>
          <w:szCs w:val="24"/>
        </w:rPr>
        <w:t>smo tempo, o uso sustentável de</w:t>
      </w:r>
      <w:r w:rsidR="00992B1D" w:rsidRPr="00A620D4">
        <w:rPr>
          <w:rFonts w:ascii="Times New Roman" w:eastAsia="Times New Roman" w:hAnsi="Times New Roman" w:cs="Times New Roman"/>
          <w:sz w:val="24"/>
          <w:szCs w:val="24"/>
        </w:rPr>
        <w:t xml:space="preserve"> seus recursos naturais por essas populações;</w:t>
      </w:r>
    </w:p>
    <w:p w14:paraId="3DB95A89" w14:textId="5B545AA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VIII - a incorporação da gestão de riscos relacionados ao clima no planejamento de </w:t>
      </w:r>
      <w:r w:rsidR="00AB7302" w:rsidRPr="00A620D4">
        <w:rPr>
          <w:rFonts w:ascii="Times New Roman" w:eastAsia="Times New Roman" w:hAnsi="Times New Roman" w:cs="Times New Roman"/>
          <w:sz w:val="24"/>
          <w:szCs w:val="24"/>
        </w:rPr>
        <w:t xml:space="preserve">ações voltadas à conservação, recuperação 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uso sustentável dos manguezais;</w:t>
      </w:r>
    </w:p>
    <w:p w14:paraId="0AD31D51" w14:textId="5865DF91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IX – o desen</w:t>
      </w:r>
      <w:r w:rsidR="00AB7302" w:rsidRPr="00A620D4">
        <w:rPr>
          <w:rFonts w:ascii="Times New Roman" w:eastAsia="Times New Roman" w:hAnsi="Times New Roman" w:cs="Times New Roman"/>
          <w:sz w:val="24"/>
          <w:szCs w:val="24"/>
        </w:rPr>
        <w:t xml:space="preserve">volvimento de metodologias 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indicadores para o monitoramento dos</w:t>
      </w:r>
      <w:r w:rsidR="00E43BAF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componentes da biodiversidade n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os manguezais;</w:t>
      </w:r>
    </w:p>
    <w:p w14:paraId="601858A2" w14:textId="6F4BE24E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X - o aumento da resiliência do</w:t>
      </w:r>
      <w:r w:rsidR="00AB7302" w:rsidRPr="00A620D4">
        <w:rPr>
          <w:rFonts w:ascii="Times New Roman" w:eastAsia="Times New Roman" w:hAnsi="Times New Roman" w:cs="Times New Roman"/>
          <w:sz w:val="24"/>
          <w:szCs w:val="24"/>
        </w:rPr>
        <w:t xml:space="preserve"> manguezal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, visando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garantir a estocagem de carbo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no no ecossistema e assegurar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seu papel na p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roteção da linha de costa, n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 defesa contra eventos extremos e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na redução das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E43BAF" w:rsidRPr="00A620D4">
        <w:rPr>
          <w:rFonts w:ascii="Times New Roman" w:eastAsia="Times New Roman" w:hAnsi="Times New Roman" w:cs="Times New Roman"/>
          <w:sz w:val="24"/>
          <w:szCs w:val="24"/>
        </w:rPr>
        <w:t xml:space="preserve">ulnerabilidades da zona costeira, acentuadas pela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mudança do clima; </w:t>
      </w:r>
    </w:p>
    <w:p w14:paraId="281C007F" w14:textId="554BC4AE" w:rsidR="00BB4953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XI - a promoção da justiça climática, o combate ao racismo ambiental e o aumento da resiliência das populações vulnerabilizadas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, bem como dos povos 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comunidades tradicionais que dependem do manguezal.</w:t>
      </w:r>
    </w:p>
    <w:p w14:paraId="0F7044DB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E2F71" w14:textId="4B69F2AD" w:rsidR="00CE5136" w:rsidRPr="00A620D4" w:rsidRDefault="006A58D7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5</w:t>
      </w:r>
      <w:r w:rsidR="008B2E18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Constituem eixos prioritários para a elaboração e implementação das políticas públicas que tratam esta Lei: </w:t>
      </w:r>
    </w:p>
    <w:p w14:paraId="783EF07E" w14:textId="2C78A011" w:rsidR="00CE5136" w:rsidRPr="00A620D4" w:rsidRDefault="006A58D7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>I- 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conservação e a recuperação dos manguezais e da biodiversidade associada;</w:t>
      </w:r>
    </w:p>
    <w:p w14:paraId="219D07F0" w14:textId="665D485D" w:rsidR="00CE5136" w:rsidRPr="00A620D4" w:rsidRDefault="006A58D7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II- p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olíticas que promovam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o uso suste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ntáve</w:t>
      </w:r>
      <w:r w:rsidR="00A30E76" w:rsidRPr="00A620D4">
        <w:rPr>
          <w:rFonts w:ascii="Times New Roman" w:eastAsia="Times New Roman" w:hAnsi="Times New Roman" w:cs="Times New Roman"/>
          <w:sz w:val="24"/>
          <w:szCs w:val="24"/>
        </w:rPr>
        <w:t xml:space="preserve">l dos recursos naturais, além de melhorar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as condições de produção e comercialização dos recursos dos manguezais pelo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s povos e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comunidades tradicionais;</w:t>
      </w:r>
    </w:p>
    <w:p w14:paraId="204646E6" w14:textId="6341AA6E" w:rsidR="00CE5136" w:rsidRPr="00A620D4" w:rsidRDefault="00686D3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III- 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preocupação com a redução de vulnerabilidades socioambientais associadas à mudança do clima nos manguezais;</w:t>
      </w:r>
    </w:p>
    <w:p w14:paraId="431AAEAF" w14:textId="5AF0396E" w:rsidR="00CE5136" w:rsidRPr="00A620D4" w:rsidRDefault="00686D3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IV- 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E76" w:rsidRPr="00A620D4">
        <w:rPr>
          <w:rFonts w:ascii="Times New Roman" w:eastAsia="Times New Roman" w:hAnsi="Times New Roman" w:cs="Times New Roman"/>
          <w:sz w:val="24"/>
          <w:szCs w:val="24"/>
        </w:rPr>
        <w:t>geração, sistematização e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disseminação de conhecimento sobre os manguezais;</w:t>
      </w:r>
    </w:p>
    <w:p w14:paraId="71AC5433" w14:textId="3CBE5DC5" w:rsidR="00CE5136" w:rsidRPr="00A620D4" w:rsidRDefault="00686D3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V- a</w:t>
      </w:r>
      <w:r w:rsidR="00A30E76" w:rsidRPr="00A620D4">
        <w:rPr>
          <w:rFonts w:ascii="Times New Roman" w:eastAsia="Times New Roman" w:hAnsi="Times New Roman" w:cs="Times New Roman"/>
          <w:sz w:val="24"/>
          <w:szCs w:val="24"/>
        </w:rPr>
        <w:t xml:space="preserve"> educação,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E76" w:rsidRPr="00A620D4">
        <w:rPr>
          <w:rFonts w:ascii="Times New Roman" w:eastAsia="Times New Roman" w:hAnsi="Times New Roman" w:cs="Times New Roman"/>
          <w:sz w:val="24"/>
          <w:szCs w:val="24"/>
        </w:rPr>
        <w:t xml:space="preserve">capacitação e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sensibilização sobre a importância dos manguezais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a vida da população urbana e sua inter-relação com todos os bioma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s naturais existentes na cidade.</w:t>
      </w:r>
    </w:p>
    <w:p w14:paraId="7B27268E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F0382" w14:textId="5A572327" w:rsidR="00CE5136" w:rsidRPr="00A620D4" w:rsidRDefault="00686D3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6</w:t>
      </w:r>
      <w:r w:rsidR="008B2E18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Visando à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conservação e recuperação dos manguezais e da biodiversidade associada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cabe ao Município a adoção de políticas que garantam:</w:t>
      </w:r>
    </w:p>
    <w:p w14:paraId="7D3657AF" w14:textId="7FF14EDF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nclusão da conservação e recuperação do ecossistema manguezal nos instrumentos de gestão territorial;</w:t>
      </w:r>
    </w:p>
    <w:p w14:paraId="28CEBD07" w14:textId="203CD27E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mplementação e criação de unidades de conservação visando à proteção dos manguezais;</w:t>
      </w:r>
    </w:p>
    <w:p w14:paraId="1E36711D" w14:textId="190AC70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promoção de ações voltadas à conservação 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espécies ameaçadas presentes no ecossistema manguezal;</w:t>
      </w:r>
    </w:p>
    <w:p w14:paraId="299E2886" w14:textId="7E182B64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realização de d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iagnóstico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implementação de ações para a recuperação de manguezais em áreas de vulnerabilidade socioecológica, áreas degradadas ou prioritárias para restauração;</w:t>
      </w:r>
    </w:p>
    <w:p w14:paraId="33855EFE" w14:textId="302C882A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itigação e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controle de imp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actos e de vetores de pressão sobre 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ecossistema manguezal;</w:t>
      </w:r>
    </w:p>
    <w:p w14:paraId="1E9A0699" w14:textId="4C2FD5ED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ontrole da poluição e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conservação dos recursos hídricos das bacias hidrográficas a montante dos manguezais;</w:t>
      </w:r>
    </w:p>
    <w:p w14:paraId="15FBEAA2" w14:textId="25491662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stímulo ao controle da poluição marinha que afeta os manguezais;</w:t>
      </w:r>
    </w:p>
    <w:p w14:paraId="7C651487" w14:textId="4A53C190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VIII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rticulação para o monitoramento da qualidade e da quantidade das águas nas áreas estuarinas;</w:t>
      </w:r>
    </w:p>
    <w:p w14:paraId="4CD16A6A" w14:textId="42B9813E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VIII-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ontrole e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monitoramento de espécies exóticas invasoras;</w:t>
      </w:r>
    </w:p>
    <w:p w14:paraId="18EC4997" w14:textId="69D60F9B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o f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ortalecimento da fiscalização e do licenciamento ambiental em áreas de manguezais, em articulação com os entes responsáveis; </w:t>
      </w:r>
    </w:p>
    <w:p w14:paraId="3BCFDA9B" w14:textId="608C4E7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romoção do envolvimento de diferentes agentes sociais no monitoramento participativo da biodiversidade do ecossistema manguezal, </w:t>
      </w:r>
      <w:r w:rsidR="006A58D7" w:rsidRPr="00A620D4">
        <w:rPr>
          <w:rFonts w:ascii="Times New Roman" w:eastAsia="Times New Roman" w:hAnsi="Times New Roman" w:cs="Times New Roman"/>
          <w:sz w:val="24"/>
          <w:szCs w:val="24"/>
        </w:rPr>
        <w:t xml:space="preserve">incluindo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gestores, pesquisadores, colaboradores, comunitários e voluntários, em suas diferentes etapas de planejamento, coleta, análise de dados, interpretação e disseminação de resultados. </w:t>
      </w:r>
    </w:p>
    <w:p w14:paraId="3002415A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1F9C0" w14:textId="6C909561" w:rsidR="00CE5136" w:rsidRPr="00A620D4" w:rsidRDefault="00686D3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7</w:t>
      </w:r>
      <w:r w:rsidR="008B2E18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Visando o desenvolvimento do uso suste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ntável dos recursos naturais e à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melhoria das condições de produção e comercialização dos recursos dos manguezais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>pelos povos e pelas comunidades tradicionais, cabe ao Município a adoção de políticas que estabeleçam:</w:t>
      </w:r>
    </w:p>
    <w:p w14:paraId="382735B5" w14:textId="2D3F85CE" w:rsidR="00CE5136" w:rsidRPr="00A620D4" w:rsidRDefault="00686D3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 – a i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dentificação das atividades econômicas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realizadas por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povos e comunidades tradicionais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considerando toda a cadeia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produtiva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seus subprodutos, para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promover açõe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s para seu fortalecimento e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valorização em bases sustentáveis;</w:t>
      </w:r>
    </w:p>
    <w:p w14:paraId="53443D5D" w14:textId="0A93C1B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o 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ncentivo ao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 xml:space="preserve"> uso d</w:t>
      </w:r>
      <w:r w:rsidR="0080094F" w:rsidRPr="00A620D4">
        <w:rPr>
          <w:rFonts w:ascii="Times New Roman" w:eastAsia="Times New Roman" w:hAnsi="Times New Roman" w:cs="Times New Roman"/>
          <w:sz w:val="24"/>
          <w:szCs w:val="24"/>
        </w:rPr>
        <w:t>e espécies nativas para promover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sóciobioeconomia</w:t>
      </w:r>
      <w:proofErr w:type="spellEnd"/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0094F" w:rsidRPr="00A620D4">
        <w:rPr>
          <w:rFonts w:ascii="Times New Roman" w:eastAsia="Times New Roman" w:hAnsi="Times New Roman" w:cs="Times New Roman"/>
          <w:sz w:val="24"/>
          <w:szCs w:val="24"/>
        </w:rPr>
        <w:t>a geração de renda sustentável para as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comunidades tradicionais;</w:t>
      </w:r>
    </w:p>
    <w:p w14:paraId="7BF3061A" w14:textId="69DCD140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romoção de medidas de fomento e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 xml:space="preserve">a disponibilidade de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mecanismos de c</w:t>
      </w:r>
      <w:r w:rsidR="0080094F" w:rsidRPr="00A620D4">
        <w:rPr>
          <w:rFonts w:ascii="Times New Roman" w:eastAsia="Times New Roman" w:hAnsi="Times New Roman" w:cs="Times New Roman"/>
          <w:sz w:val="24"/>
          <w:szCs w:val="24"/>
        </w:rPr>
        <w:t>rédito adequados para os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 xml:space="preserve"> povos 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comunidades tradicionais;</w:t>
      </w:r>
    </w:p>
    <w:p w14:paraId="353E142C" w14:textId="05FFAC44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D38" w:rsidRPr="00A620D4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adastramento das famílias em unidades de conservação de uso sustentável e </w:t>
      </w:r>
      <w:r w:rsidR="001B29E9" w:rsidRPr="00A620D4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outros territórios formalmente reconhecidos que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possuem manguezal no âmbito do 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unicípio;</w:t>
      </w:r>
    </w:p>
    <w:p w14:paraId="2998B839" w14:textId="3653BD42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V-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doção de prática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s sustentáveis que possibilitem, em longo prazo,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 manutenção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dos recursos naturais do manguezal, comercializados pelos povos e comunidades tradicionais;</w:t>
      </w:r>
    </w:p>
    <w:p w14:paraId="62E02D2F" w14:textId="03606DF2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o 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onitoram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ento participativo para coletar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informações sobre o impacto do uso de espécies de interesse socioeconômico em unidades de conservação e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proposição de ações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para melhorar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 gestão desses recursos naturais,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assegurando a </w:t>
      </w:r>
      <w:r w:rsidR="001B29E9" w:rsidRPr="00A620D4">
        <w:rPr>
          <w:rFonts w:ascii="Times New Roman" w:eastAsia="Times New Roman" w:hAnsi="Times New Roman" w:cs="Times New Roman"/>
          <w:sz w:val="24"/>
          <w:szCs w:val="24"/>
        </w:rPr>
        <w:t>sustentabilidade 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seus usos;</w:t>
      </w:r>
    </w:p>
    <w:p w14:paraId="4D32530B" w14:textId="60522336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stímulo ao desenvolvimento do turis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mo de base comunitária promovido pelos povos 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comunidades tradicionais;</w:t>
      </w:r>
    </w:p>
    <w:p w14:paraId="1EA8A736" w14:textId="0D0D86CB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VIII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econhecimento e </w:t>
      </w:r>
      <w:r w:rsidR="00E309E0" w:rsidRPr="00A620D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fortalecimento das redes de mulheres ligadas às cadeias produtivas do manguezal.</w:t>
      </w:r>
    </w:p>
    <w:p w14:paraId="472390C4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BC772" w14:textId="18A2D9C9" w:rsidR="000E5530" w:rsidRPr="00A620D4" w:rsidRDefault="00E309E0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8</w:t>
      </w:r>
      <w:r w:rsidR="008B2E18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Caberá ao Poder Público Municipal a geração, a sistematização e a disseminação d</w:t>
      </w:r>
      <w:r w:rsidR="00C56EA4" w:rsidRPr="00A620D4">
        <w:rPr>
          <w:rFonts w:ascii="Times New Roman" w:eastAsia="Times New Roman" w:hAnsi="Times New Roman" w:cs="Times New Roman"/>
          <w:sz w:val="24"/>
          <w:szCs w:val="24"/>
        </w:rPr>
        <w:t>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conhecimento so</w:t>
      </w:r>
      <w:r w:rsidR="000E5530" w:rsidRPr="00A620D4">
        <w:rPr>
          <w:rFonts w:ascii="Times New Roman" w:eastAsia="Times New Roman" w:hAnsi="Times New Roman" w:cs="Times New Roman"/>
          <w:sz w:val="24"/>
          <w:szCs w:val="24"/>
        </w:rPr>
        <w:t>bre os manguezais no âmbito do M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unicípio, </w:t>
      </w:r>
      <w:r w:rsidR="000E5530" w:rsidRPr="00A620D4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da adoção de políticas que viabilizem:</w:t>
      </w:r>
    </w:p>
    <w:p w14:paraId="4CAF3ECB" w14:textId="39C1292E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E553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530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romoção do monitoramento geoespacial, em escala apropriada, da cobertura vegetal dos manguezais em toda a </w:t>
      </w:r>
      <w:r w:rsidR="00C56EA4" w:rsidRPr="00A620D4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área de ocorrência </w:t>
      </w:r>
      <w:r w:rsidR="001B29E9" w:rsidRPr="00A620D4">
        <w:rPr>
          <w:rFonts w:ascii="Times New Roman" w:eastAsia="Times New Roman" w:hAnsi="Times New Roman" w:cs="Times New Roman"/>
          <w:sz w:val="24"/>
          <w:szCs w:val="24"/>
        </w:rPr>
        <w:t>no âmbito do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EA4" w:rsidRPr="00A620D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unicípio;</w:t>
      </w:r>
    </w:p>
    <w:p w14:paraId="7A08D240" w14:textId="5FA77573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C717BD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7BD" w:rsidRPr="00A620D4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stímulo </w:t>
      </w:r>
      <w:r w:rsidR="00C717BD" w:rsidRPr="00A620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parcerias entre os entes públicos para a produção de pesquisa científica que subsidie a tomada de decisão e a implementação de ações de manejo, uso sustentável, recuperação e conservação do ecossistema manguezal;</w:t>
      </w:r>
    </w:p>
    <w:p w14:paraId="3F76DFA8" w14:textId="459DA2A1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III-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romoção de ações para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valorização e disseminação dos conhecimentos e saberes dos povos e comunidades tradicionais que vivem nos manguezais, bem como sua incorporação nas ações de manejo, uso sustentável, recuperação e conservação do ecossistema manguezal;</w:t>
      </w:r>
    </w:p>
    <w:p w14:paraId="4E6EF3FE" w14:textId="3F74ADE5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a v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aloração econômica do man</w:t>
      </w:r>
      <w:r w:rsidR="00673D03" w:rsidRPr="00A620D4">
        <w:rPr>
          <w:rFonts w:ascii="Times New Roman" w:eastAsia="Times New Roman" w:hAnsi="Times New Roman" w:cs="Times New Roman"/>
          <w:sz w:val="24"/>
          <w:szCs w:val="24"/>
        </w:rPr>
        <w:t>guezal e 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seus serviços ecossistêmicos;</w:t>
      </w:r>
    </w:p>
    <w:p w14:paraId="11932773" w14:textId="5084FB20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romoção d</w:t>
      </w:r>
      <w:r w:rsidR="00673D03" w:rsidRPr="00A620D4">
        <w:rPr>
          <w:rFonts w:ascii="Times New Roman" w:eastAsia="Times New Roman" w:hAnsi="Times New Roman" w:cs="Times New Roman"/>
          <w:sz w:val="24"/>
          <w:szCs w:val="24"/>
        </w:rPr>
        <w:t xml:space="preserve">o uso de ferramentas online que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armazenem, integrem e disponibilizem, de forma pública, acessível e em linguagem adequada, dados, informações, análises e documentos sobre a biodiversidade dos manguezais.  </w:t>
      </w:r>
    </w:p>
    <w:p w14:paraId="555D27E4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EAA1D" w14:textId="3A89C1B9" w:rsidR="00814475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814475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º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 Poder Público promoverá a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 xml:space="preserve">elaboração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de planos visando garantir: </w:t>
      </w:r>
    </w:p>
    <w:p w14:paraId="59DE6F02" w14:textId="792FA6C4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o 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poio a ações de mitigação e adaptação à mudança do clima que favoreçam a reprodução social, econômica e cultural dos povos e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comunidades tradicionais que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 xml:space="preserve">dependem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dos manguezais, para reduzir o impacto negativo em âmbito socioeconômico e na saúde dessas comunidades;</w:t>
      </w:r>
    </w:p>
    <w:p w14:paraId="45558BD9" w14:textId="126FACC8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rodução de conhecimento sobre os riscos e impactos da mudança do clima nos manguezais</w:t>
      </w:r>
      <w:r w:rsidR="00814475" w:rsidRPr="00A62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nos povos e nas comunidades tradicionais que dependem desse ecossistema;</w:t>
      </w:r>
    </w:p>
    <w:p w14:paraId="7DE2E1CA" w14:textId="268E644B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valia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ção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os impactos dos cenários de mudança do clima sobre os manguezais,  sua biodiversidade associada e seus serviços ecossistêmicos, com a elaboração de diretrizes para a adaptação e o aprimoramento da gestão das unidades de conservação, do licenciamento ambiental e do planejamento territorial;</w:t>
      </w:r>
    </w:p>
    <w:p w14:paraId="03FCFA0C" w14:textId="6C9CE57D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aracterização da vulnerabilidade dos manguezais aos diferentes aspectos da mudança do clima em escala local e regional;</w:t>
      </w:r>
    </w:p>
    <w:p w14:paraId="1B1154FC" w14:textId="21818653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a 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dentificação de estratégias de adaptação à mudança do clima da zona costeira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base nos manguezais;</w:t>
      </w:r>
    </w:p>
    <w:p w14:paraId="02F60AFD" w14:textId="2AC97CE5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romoção de ações para a redução das vulnerabilidades das mulheres frente aos impactos da mudança do clima;</w:t>
      </w:r>
    </w:p>
    <w:p w14:paraId="34102B4E" w14:textId="00B03D0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VII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o 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poio à elaboração de estudos para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contabilização do estoque e do sequestro de carbono em áreas de manguezais. </w:t>
      </w:r>
    </w:p>
    <w:p w14:paraId="7D88A4E8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36FF5" w14:textId="298616DD" w:rsidR="00302133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C80920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O Município promoverá a educação,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capacitação e a sensibilização sobre a importância dos manguezais </w:t>
      </w:r>
      <w:r w:rsidR="00C80920" w:rsidRPr="00A620D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vida da população urbana e sua inter-relação com todos os biomas naturais existentes na cidade, garantindo:</w:t>
      </w:r>
    </w:p>
    <w:p w14:paraId="5F086923" w14:textId="17E1C307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32BC2" w:rsidRPr="00A620D4">
        <w:rPr>
          <w:rFonts w:ascii="Times New Roman" w:eastAsia="Times New Roman" w:hAnsi="Times New Roman" w:cs="Times New Roman"/>
          <w:sz w:val="24"/>
          <w:szCs w:val="24"/>
        </w:rPr>
        <w:t xml:space="preserve">promoção da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capacitação de povos e comunidades tradicionais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 xml:space="preserve">, bem como de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outros grupos sociais que tenham relação direta com os manguezais, 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 xml:space="preserve">visando assegurar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maior representatividade e participação social desses agentes nos diferentes espaços de participação e controle social;</w:t>
      </w:r>
    </w:p>
    <w:p w14:paraId="60B65AED" w14:textId="3C6B6904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esenvolvimento de ações de capacitação para aprimorar e fortalecer a </w:t>
      </w:r>
      <w:r w:rsidR="00A32BC2" w:rsidRPr="00A620D4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dos órgãos e 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seus se</w:t>
      </w:r>
      <w:r w:rsidR="00A32BC2" w:rsidRPr="00A620D4">
        <w:rPr>
          <w:rFonts w:ascii="Times New Roman" w:eastAsia="Times New Roman" w:hAnsi="Times New Roman" w:cs="Times New Roman"/>
          <w:sz w:val="24"/>
          <w:szCs w:val="24"/>
        </w:rPr>
        <w:t>rvidores/as responsáveis</w:t>
      </w:r>
      <w:r w:rsidR="00302133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no âmbito municipal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pelas políticas ambientais que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impactam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os manguezais;</w:t>
      </w:r>
    </w:p>
    <w:p w14:paraId="4ECB0F90" w14:textId="2DE9FDD4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romoção de ações educativas voltadas aos diferentes segmentos da sociedade sobre a importância dos manguezais e a abordagem ecossistêmica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estratégi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>a para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reduzir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ou eliminar 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impactos negativos 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 xml:space="preserve">sobre os manguezais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e garantir 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>a manutenção 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serviços ecossistêmicos;</w:t>
      </w:r>
    </w:p>
    <w:p w14:paraId="5F20DC81" w14:textId="0CCEC19D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romoção de ações para valorizar a cultura associada ao manguezal e 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 xml:space="preserve">ampliar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 conhecimento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sobre 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uso sustentável d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esse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ecossistema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por meio d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intercâmbio entre povos e comunidades tradicionais;</w:t>
      </w:r>
    </w:p>
    <w:p w14:paraId="0AB82EDD" w14:textId="3001AF4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stímulo a processos formativos </w:t>
      </w:r>
      <w:r w:rsidR="00F64FF2" w:rsidRPr="00A620D4">
        <w:rPr>
          <w:rFonts w:ascii="Times New Roman" w:eastAsia="Times New Roman" w:hAnsi="Times New Roman" w:cs="Times New Roman"/>
          <w:sz w:val="24"/>
          <w:szCs w:val="24"/>
        </w:rPr>
        <w:t>voltados para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jovens e mulheres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>, visando à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atuação na gestão pa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>rticipativa de seus territórios e à possibilidade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3F7" w:rsidRPr="00A620D4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renovação d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lideranças comunitárias.</w:t>
      </w:r>
    </w:p>
    <w:p w14:paraId="56EA7A46" w14:textId="4887FC55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o 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ncentiv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ampliação de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 xml:space="preserve">atividades extracurriculares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disciplinas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educação ambiental nas escolas do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unicípio de Aracaju.</w:t>
      </w:r>
    </w:p>
    <w:p w14:paraId="7C61ACC9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F9F19" w14:textId="4BAE3EB6" w:rsidR="00713439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1</w:t>
      </w:r>
      <w:r w:rsidR="00713439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 implementação das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iretrizes e dos respectivos eixos se dará em consonância com os seguintes instrumentos:</w:t>
      </w:r>
    </w:p>
    <w:p w14:paraId="7AE2D5FC" w14:textId="7E2EE5A8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dentificação de espécies da fauna e da flora ameaçadas de extinção, </w:t>
      </w:r>
      <w:r w:rsidR="00E633CE" w:rsidRPr="00A620D4">
        <w:rPr>
          <w:rFonts w:ascii="Times New Roman" w:eastAsia="Times New Roman" w:hAnsi="Times New Roman" w:cs="Times New Roman"/>
          <w:sz w:val="24"/>
          <w:szCs w:val="24"/>
        </w:rPr>
        <w:t>com base n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33CE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listas nacionais oficiais e </w:t>
      </w:r>
      <w:r w:rsidR="00E633CE" w:rsidRPr="00A620D4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estudo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locais que apontem essas espécies;</w:t>
      </w:r>
    </w:p>
    <w:p w14:paraId="6B380B59" w14:textId="7282549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713439" w:rsidRPr="00A620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plano de ação municipal para a conservação de espécies ameaçadas de extinção, incluindo as áreas de intersecção com os manguezais de outros municípios;</w:t>
      </w:r>
    </w:p>
    <w:p w14:paraId="60183743" w14:textId="6D1252E9" w:rsidR="00CE5136" w:rsidRPr="00A620D4" w:rsidRDefault="008B2E18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III – desenvolvimento de monitoramento sistemático da biodiversidade dos manguezais</w:t>
      </w:r>
      <w:r w:rsidR="00740FBF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por meio d</w:t>
      </w:r>
      <w:r w:rsidR="00740FBF" w:rsidRPr="00A620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parcerias com universidades e institutos de pesquisa;</w:t>
      </w:r>
    </w:p>
    <w:p w14:paraId="2C24E086" w14:textId="1827E98A" w:rsidR="0065505D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IV – áreas prioritárias para a conservação, utilização sustentável e repartição dos benefícios da biodiversidade;</w:t>
      </w:r>
    </w:p>
    <w:p w14:paraId="1DC64D79" w14:textId="6B430174" w:rsidR="0065505D" w:rsidRPr="00A620D4" w:rsidRDefault="00E633CE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 – p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lano de manejo, conselho e outros i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n</w:t>
      </w:r>
      <w:r w:rsidR="00064EB5" w:rsidRPr="00A620D4">
        <w:rPr>
          <w:rFonts w:ascii="Times New Roman" w:eastAsia="Times New Roman" w:hAnsi="Times New Roman" w:cs="Times New Roman"/>
          <w:sz w:val="24"/>
          <w:szCs w:val="24"/>
        </w:rPr>
        <w:t xml:space="preserve">strumentos de planejamento e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implementação das unidades de conservação, nos termos </w:t>
      </w:r>
      <w:r w:rsidR="00064EB5" w:rsidRPr="00A620D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Lei nº 9.985, de 18 </w:t>
      </w:r>
      <w:r w:rsidR="00064EB5" w:rsidRPr="00A620D4">
        <w:rPr>
          <w:rFonts w:ascii="Times New Roman" w:eastAsia="Times New Roman" w:hAnsi="Times New Roman" w:cs="Times New Roman"/>
          <w:sz w:val="24"/>
          <w:szCs w:val="24"/>
        </w:rPr>
        <w:t>de julho de 2000, respeitando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os saberes e </w:t>
      </w:r>
      <w:r w:rsidR="00064EB5" w:rsidRPr="00A620D4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práticas das comunidades tradicionais como produtoras de conheciment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os e estratégias de conservação;</w:t>
      </w:r>
    </w:p>
    <w:p w14:paraId="5B96D7CC" w14:textId="4420A096" w:rsidR="0065505D" w:rsidRPr="00A620D4" w:rsidRDefault="00D91017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VI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- planos e comitês de bacias hidrográficas em áreas de intersecção com manguezais, </w:t>
      </w:r>
      <w:r w:rsidR="00E633CE" w:rsidRPr="00A620D4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r w:rsidR="00064EB5" w:rsidRPr="00A620D4">
        <w:rPr>
          <w:rFonts w:ascii="Times New Roman" w:eastAsia="Times New Roman" w:hAnsi="Times New Roman" w:cs="Times New Roman"/>
          <w:sz w:val="24"/>
          <w:szCs w:val="24"/>
        </w:rPr>
        <w:t xml:space="preserve">os termos da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Lei nº 9.433, de 8 de janeiro de 1997;</w:t>
      </w:r>
    </w:p>
    <w:p w14:paraId="4322E12A" w14:textId="39896829" w:rsidR="0065505D" w:rsidRPr="00A620D4" w:rsidRDefault="00D91017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- planos de recuperação para espécies de peixes e invertebrados costeiros e marinhos ameaçados de extinção;</w:t>
      </w:r>
    </w:p>
    <w:p w14:paraId="09BC7864" w14:textId="233934E8" w:rsidR="00064EB5" w:rsidRPr="00A620D4" w:rsidRDefault="00D91017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64EB5" w:rsidRPr="00A620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64EB5" w:rsidRPr="00A620D4">
        <w:rPr>
          <w:rFonts w:ascii="Times New Roman" w:hAnsi="Times New Roman" w:cs="Times New Roman"/>
          <w:sz w:val="24"/>
          <w:szCs w:val="24"/>
        </w:rPr>
        <w:t>elaboração do Plano Municipal de Defesa dos Manguezais, alinhado às diretrizes da Estratégia Nacional de Conservação e Uso Sustentável das Zonas Úmidas no Brasil, do Plano Nacional de Gerenciamento Costeiro e de outros instrumentos de gestão da zona costeira. O plano também deverá considerar as orientações do Plano Nacional sobre Mudança do Clima, instituído pela Lei nº 12.187, de 29 de dezembro de 2009, do Plano Nacional de Adaptação à Mudança do Clima e do Decreto nº 12.045/2024, que estabelece o Programa Nacional de Conservação e Uso Sustentável dos Manguezais do Brasil;</w:t>
      </w:r>
    </w:p>
    <w:p w14:paraId="1F5C3B42" w14:textId="79BE6858" w:rsidR="0065505D" w:rsidRPr="00A620D4" w:rsidRDefault="00D91017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IX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 xml:space="preserve"> – realização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>d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o licenciamento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 xml:space="preserve"> somente para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atividades efetiva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ou potencialmente poluidoras, nos termos 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>d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a Lei nº 6.938, de 31 de agosto de 1981, após oitiva com a participação direta das comunidades tradicionais e da população 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 xml:space="preserve">residente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nos territórios onde a ação será desenvolvida;</w:t>
      </w:r>
    </w:p>
    <w:p w14:paraId="119A2E43" w14:textId="7CEB83F7" w:rsidR="00CE5136" w:rsidRPr="00A620D4" w:rsidRDefault="00D91017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>X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169C0" w:rsidRPr="00A620D4">
        <w:rPr>
          <w:rFonts w:ascii="Times New Roman" w:eastAsia="Times New Roman" w:hAnsi="Times New Roman" w:cs="Times New Roman"/>
          <w:sz w:val="24"/>
          <w:szCs w:val="24"/>
        </w:rPr>
        <w:t xml:space="preserve"> elaboração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de plano de investimento para 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desapropriação de ár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 xml:space="preserve">eas </w:t>
      </w:r>
      <w:r w:rsidR="000169C0" w:rsidRPr="00A620D4">
        <w:rPr>
          <w:rFonts w:ascii="Times New Roman" w:eastAsia="Times New Roman" w:hAnsi="Times New Roman" w:cs="Times New Roman"/>
          <w:sz w:val="24"/>
          <w:szCs w:val="24"/>
        </w:rPr>
        <w:t xml:space="preserve">aterradas ou </w:t>
      </w:r>
      <w:r w:rsidR="0065505D" w:rsidRPr="00A620D4">
        <w:rPr>
          <w:rFonts w:ascii="Times New Roman" w:eastAsia="Times New Roman" w:hAnsi="Times New Roman" w:cs="Times New Roman"/>
          <w:sz w:val="24"/>
          <w:szCs w:val="24"/>
        </w:rPr>
        <w:t>impacta</w:t>
      </w:r>
      <w:r w:rsidR="000169C0" w:rsidRPr="00A620D4">
        <w:rPr>
          <w:rFonts w:ascii="Times New Roman" w:eastAsia="Times New Roman" w:hAnsi="Times New Roman" w:cs="Times New Roman"/>
          <w:sz w:val="24"/>
          <w:szCs w:val="24"/>
        </w:rPr>
        <w:t>das pela degradação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visando à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recuperação, ao reflorestamento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e ao repovoamento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dos manguezais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D863F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B29A3" w14:textId="7232A472" w:rsidR="00D91017" w:rsidRPr="00A620D4" w:rsidRDefault="00D91017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0169C0"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Para fins de execução das políticas públicas voltadas para a defesa da conservação e uso sustentáv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el dos manguezais no âmbito do M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unicípio de Aracaju, o Poder Público poderá celebrar parcerias de fomento e colaboração com entes do setor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público e privado, na forma da L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ei.</w:t>
      </w:r>
    </w:p>
    <w:p w14:paraId="297CD81A" w14:textId="3DCD2CFA" w:rsidR="00D91017" w:rsidRPr="00A620D4" w:rsidRDefault="008B2E18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D91017" w:rsidRPr="00A620D4">
        <w:rPr>
          <w:rFonts w:ascii="Times New Roman" w:eastAsia="Times New Roman" w:hAnsi="Times New Roman" w:cs="Times New Roman"/>
          <w:b/>
          <w:sz w:val="24"/>
          <w:szCs w:val="24"/>
        </w:rPr>
        <w:t>1º</w:t>
      </w:r>
      <w:r w:rsidR="00D91017" w:rsidRPr="00A620D4">
        <w:rPr>
          <w:rFonts w:ascii="Times New Roman" w:eastAsia="Times New Roman" w:hAnsi="Times New Roman" w:cs="Times New Roman"/>
          <w:sz w:val="24"/>
          <w:szCs w:val="24"/>
        </w:rPr>
        <w:t xml:space="preserve"> As parcerias de que trata o caput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deste artigo serão precedidas, obrigatoriamente, de licitação ou chamamento público, aos quais se dará ampla publicidade.</w:t>
      </w:r>
    </w:p>
    <w:p w14:paraId="33E3D890" w14:textId="426020DF" w:rsidR="00CE5136" w:rsidRPr="00A620D4" w:rsidRDefault="000169C0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8B2E18" w:rsidRPr="00A620D4">
        <w:rPr>
          <w:rFonts w:ascii="Times New Roman" w:eastAsia="Times New Roman" w:hAnsi="Times New Roman" w:cs="Times New Roman"/>
          <w:b/>
          <w:sz w:val="24"/>
          <w:szCs w:val="24"/>
        </w:rPr>
        <w:t>2º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A opção por parcerias com a iniciativa privada ou com entidades sem fins lucrativos para </w:t>
      </w:r>
      <w:r w:rsidR="00D91017" w:rsidRPr="00A620D4">
        <w:rPr>
          <w:rFonts w:ascii="Times New Roman" w:eastAsia="Times New Roman" w:hAnsi="Times New Roman" w:cs="Times New Roman"/>
          <w:sz w:val="24"/>
          <w:szCs w:val="24"/>
        </w:rPr>
        <w:t xml:space="preserve">a execução do previsto no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c</w:t>
      </w:r>
      <w:r w:rsidR="00D91017" w:rsidRPr="00A620D4">
        <w:rPr>
          <w:rFonts w:ascii="Times New Roman" w:eastAsia="Times New Roman" w:hAnsi="Times New Roman" w:cs="Times New Roman"/>
          <w:sz w:val="24"/>
          <w:szCs w:val="24"/>
        </w:rPr>
        <w:t>aput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deste art</w:t>
      </w:r>
      <w:r w:rsidR="00D91017" w:rsidRPr="00A620D4">
        <w:rPr>
          <w:rFonts w:ascii="Times New Roman" w:eastAsia="Times New Roman" w:hAnsi="Times New Roman" w:cs="Times New Roman"/>
          <w:sz w:val="24"/>
          <w:szCs w:val="24"/>
        </w:rPr>
        <w:t xml:space="preserve">igo não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exime </w:t>
      </w:r>
      <w:r w:rsidR="00D91017" w:rsidRPr="00A620D4">
        <w:rPr>
          <w:rFonts w:ascii="Times New Roman" w:eastAsia="Times New Roman" w:hAnsi="Times New Roman" w:cs="Times New Roman"/>
          <w:sz w:val="24"/>
          <w:szCs w:val="24"/>
        </w:rPr>
        <w:t>o Poder P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úblico</w:t>
      </w:r>
      <w:r w:rsidR="00176C32" w:rsidRPr="00A620D4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C32" w:rsidRPr="00A620D4">
        <w:rPr>
          <w:rFonts w:ascii="Times New Roman" w:eastAsia="Times New Roman" w:hAnsi="Times New Roman" w:cs="Times New Roman"/>
          <w:sz w:val="24"/>
          <w:szCs w:val="24"/>
        </w:rPr>
        <w:t xml:space="preserve">dever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de manter a rede de atenção direta.</w:t>
      </w:r>
    </w:p>
    <w:p w14:paraId="46F7E819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FF47B" w14:textId="30ED9766" w:rsidR="00CE5136" w:rsidRPr="00A620D4" w:rsidRDefault="00D91017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13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As despesas decorrentes da execução desta Lei correrão por conta das dotações orçame</w:t>
      </w:r>
      <w:r w:rsidR="00176C32" w:rsidRPr="00A620D4">
        <w:rPr>
          <w:rFonts w:ascii="Times New Roman" w:eastAsia="Times New Roman" w:hAnsi="Times New Roman" w:cs="Times New Roman"/>
          <w:sz w:val="24"/>
          <w:szCs w:val="24"/>
        </w:rPr>
        <w:t>ntárias próprias, suplementadas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se necessário.</w:t>
      </w:r>
    </w:p>
    <w:p w14:paraId="40A2CDA7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857A2" w14:textId="3C6C3A86" w:rsidR="00CE5136" w:rsidRPr="00A620D4" w:rsidRDefault="00D91017" w:rsidP="00A620D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bCs/>
          <w:sz w:val="24"/>
          <w:szCs w:val="24"/>
        </w:rPr>
        <w:t>Art. 14</w:t>
      </w:r>
      <w:r w:rsidR="00176C32" w:rsidRPr="00A620D4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sua publicação.</w:t>
      </w:r>
    </w:p>
    <w:p w14:paraId="7B06C521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576AD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6B612" w14:textId="77777777" w:rsidR="00CE5136" w:rsidRPr="00A620D4" w:rsidRDefault="00CE5136" w:rsidP="00A620D4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3A79C" w14:textId="77777777" w:rsidR="00CE5136" w:rsidRPr="00A620D4" w:rsidRDefault="008B2E18" w:rsidP="00A620D4">
      <w:pPr>
        <w:pStyle w:val="normal1"/>
        <w:spacing w:line="276" w:lineRule="auto"/>
        <w:ind w:firstLine="414"/>
        <w:jc w:val="center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Palácio Graccho Cardoso, 27 de janeiro de 2025.</w:t>
      </w:r>
    </w:p>
    <w:p w14:paraId="7021C1B1" w14:textId="77777777" w:rsidR="00CE5136" w:rsidRPr="00A620D4" w:rsidRDefault="00CE5136" w:rsidP="00A620D4">
      <w:pPr>
        <w:pStyle w:val="normal1"/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A10A214" w14:textId="77777777" w:rsidR="00CE5136" w:rsidRPr="00A620D4" w:rsidRDefault="008B2E18" w:rsidP="00A620D4">
      <w:pPr>
        <w:pStyle w:val="normal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hAnsi="Times New Roman" w:cs="Times New Roman"/>
          <w:noProof/>
          <w:sz w:val="24"/>
          <w:szCs w:val="24"/>
          <w:lang w:eastAsia="pt-BR" w:bidi="ar-SA"/>
        </w:rPr>
        <w:drawing>
          <wp:inline distT="0" distB="0" distL="0" distR="0" wp14:anchorId="187F1802" wp14:editId="5EC8C10B">
            <wp:extent cx="2868295" cy="774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BFFE" w14:textId="77777777" w:rsidR="00CE5136" w:rsidRPr="00A620D4" w:rsidRDefault="00CE5136" w:rsidP="00A620D4">
      <w:pPr>
        <w:pStyle w:val="normal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04E3D" w14:textId="77777777" w:rsidR="00CE5136" w:rsidRPr="00A620D4" w:rsidRDefault="008B2E18" w:rsidP="00A620D4">
      <w:pPr>
        <w:pStyle w:val="normal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D4">
        <w:rPr>
          <w:rFonts w:ascii="Times New Roman" w:hAnsi="Times New Roman" w:cs="Times New Roman"/>
          <w:sz w:val="24"/>
          <w:szCs w:val="24"/>
        </w:rPr>
        <w:br w:type="page"/>
      </w:r>
    </w:p>
    <w:p w14:paraId="2462B601" w14:textId="0091F800" w:rsidR="00CE5136" w:rsidRPr="00A620D4" w:rsidRDefault="008B2E18" w:rsidP="00A5739D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14:paraId="7AE3CA80" w14:textId="77777777" w:rsidR="00A5739D" w:rsidRPr="00A620D4" w:rsidRDefault="00A5739D" w:rsidP="00A5739D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79ED1834" w14:textId="40D35F8B" w:rsidR="00CE5136" w:rsidRPr="00A620D4" w:rsidRDefault="008B2E18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Historicamente, </w:t>
      </w:r>
      <w:r w:rsidR="00176C32" w:rsidRPr="00A620D4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parte significativa da cidade de Aracaju se desenvolveu em torno de um dos </w:t>
      </w:r>
      <w:r w:rsidR="00176C32" w:rsidRPr="00A620D4">
        <w:rPr>
          <w:rFonts w:ascii="Times New Roman" w:eastAsia="Times New Roman" w:hAnsi="Times New Roman" w:cs="Times New Roman"/>
          <w:sz w:val="24"/>
          <w:szCs w:val="24"/>
        </w:rPr>
        <w:t xml:space="preserve">seus principais biomas: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 manguezal. </w:t>
      </w:r>
      <w:r w:rsidR="00176C32" w:rsidRPr="00AD359A">
        <w:rPr>
          <w:rFonts w:ascii="Times New Roman" w:eastAsia="Times New Roman" w:hAnsi="Times New Roman" w:cs="Times New Roman"/>
          <w:sz w:val="24"/>
          <w:szCs w:val="24"/>
          <w:lang w:eastAsia="pt-BR"/>
        </w:rPr>
        <w:t>Os manguezais são ecossistemas situados na interface entre os ambientes terrestre e marinho, caracterizados por uma vegetação adaptada às variações de salinidade e às marés.</w:t>
      </w:r>
    </w:p>
    <w:p w14:paraId="0833498B" w14:textId="3BE6A1FE" w:rsidR="00176C32" w:rsidRPr="00A620D4" w:rsidRDefault="00176C32" w:rsidP="00A5739D">
      <w:pPr>
        <w:pStyle w:val="NormalWeb"/>
        <w:spacing w:line="276" w:lineRule="auto"/>
        <w:ind w:firstLine="720"/>
        <w:jc w:val="both"/>
      </w:pPr>
      <w:r w:rsidRPr="00A620D4">
        <w:t>O processo de urbanização crescente foi moldando o modelo de desenvolvimento econômico, muitas vezes, à custa da degradação de extensas áreas de manguezais – um dos ecossistemas mais importantes para a manutenção e reprodução da vida de diversas espécies, além de atuar na proteção das áreas estuarinas. Esses ecossistemas desempenham um papel fundamental na prevenção do assoreamento de rios e praias, bem como na captação e no armazenamento de gases do efeito estufa.</w:t>
      </w:r>
    </w:p>
    <w:p w14:paraId="12948833" w14:textId="6739B86F" w:rsidR="007755AA" w:rsidRPr="00A620D4" w:rsidRDefault="008B2E18" w:rsidP="00A5739D">
      <w:pPr>
        <w:pStyle w:val="NormalWeb"/>
        <w:spacing w:line="276" w:lineRule="auto"/>
        <w:ind w:firstLine="720"/>
        <w:jc w:val="both"/>
      </w:pPr>
      <w:r w:rsidRPr="00A620D4">
        <w:t xml:space="preserve">Em 2012, </w:t>
      </w:r>
      <w:r w:rsidR="00992A77" w:rsidRPr="00A620D4">
        <w:t xml:space="preserve">uma </w:t>
      </w:r>
      <w:r w:rsidRPr="00A620D4">
        <w:t xml:space="preserve">pesquisa divulgada pela </w:t>
      </w:r>
      <w:r w:rsidR="00992A77" w:rsidRPr="00AD359A">
        <w:t xml:space="preserve">Administração Estadual do Meio Ambiente (ADEMA) </w:t>
      </w:r>
      <w:r w:rsidR="00992A77" w:rsidRPr="00A620D4">
        <w:t>revelou que o estado de Sergipe possui uma área</w:t>
      </w:r>
      <w:r w:rsidRPr="00A620D4">
        <w:t xml:space="preserve"> </w:t>
      </w:r>
      <w:r w:rsidR="00992A77" w:rsidRPr="00A620D4">
        <w:t xml:space="preserve">total de </w:t>
      </w:r>
      <w:r w:rsidRPr="00A620D4">
        <w:t xml:space="preserve">25.626,24 hectares </w:t>
      </w:r>
      <w:r w:rsidR="007755AA" w:rsidRPr="00A620D4">
        <w:t>de manguezais</w:t>
      </w:r>
      <w:r w:rsidR="00992A77" w:rsidRPr="00A620D4">
        <w:t>, dos quais</w:t>
      </w:r>
      <w:r w:rsidRPr="00A620D4">
        <w:t xml:space="preserve"> 13.325,46 </w:t>
      </w:r>
      <w:r w:rsidR="00992A77" w:rsidRPr="00A620D4">
        <w:t xml:space="preserve">hectares </w:t>
      </w:r>
      <w:r w:rsidR="007755AA" w:rsidRPr="00A620D4">
        <w:t xml:space="preserve">estão localizados </w:t>
      </w:r>
      <w:r w:rsidRPr="00A620D4">
        <w:t>na Grande Aracaju. N</w:t>
      </w:r>
      <w:r w:rsidR="00992A77" w:rsidRPr="00A620D4">
        <w:t>o entanto,</w:t>
      </w:r>
      <w:r w:rsidR="007755AA" w:rsidRPr="00A620D4">
        <w:t xml:space="preserve"> não há registros de estudos mais recentes que atualizem esses dados.</w:t>
      </w:r>
    </w:p>
    <w:p w14:paraId="44702223" w14:textId="13556535" w:rsidR="00CE5136" w:rsidRPr="00A620D4" w:rsidRDefault="008B2E18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755AA" w:rsidRPr="00A620D4">
        <w:rPr>
          <w:rFonts w:ascii="Times New Roman" w:eastAsia="Times New Roman" w:hAnsi="Times New Roman" w:cs="Times New Roman"/>
          <w:sz w:val="24"/>
          <w:szCs w:val="24"/>
        </w:rPr>
        <w:t>intenso processo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de urbanização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</w:rPr>
        <w:t xml:space="preserve"> de Aracaju</w:t>
      </w:r>
      <w:r w:rsidR="007755AA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</w:rPr>
        <w:t xml:space="preserve"> iniciado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5AA" w:rsidRPr="00A620D4">
        <w:rPr>
          <w:rFonts w:ascii="Times New Roman" w:eastAsia="Times New Roman" w:hAnsi="Times New Roman" w:cs="Times New Roman"/>
          <w:sz w:val="24"/>
          <w:szCs w:val="24"/>
        </w:rPr>
        <w:t xml:space="preserve">no século XIX, desconsiderou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 riqueza dos manguezais, 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 xml:space="preserve">resultando na destruição 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  <w:lang w:eastAsia="pt-BR"/>
        </w:rPr>
        <w:t>parcial</w:t>
      </w:r>
      <w:r w:rsidR="00ED2371" w:rsidRPr="00AD3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desse ecossistema por meio de aterros irregulares.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2371" w:rsidRPr="00AD3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primeiros conjuntos habitacionais da cidade foram construídos sobre áreas aterradas de manguezais.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 expansão 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>urbana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</w:rPr>
        <w:t xml:space="preserve">tanto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zona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norte, oeste ou sul, 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 xml:space="preserve">ocorreu 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</w:rPr>
        <w:t>de forma aviltante para esse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ecossistema, </w:t>
      </w:r>
      <w:r w:rsidR="00972E77" w:rsidRPr="00A620D4">
        <w:rPr>
          <w:rFonts w:ascii="Times New Roman" w:eastAsia="Times New Roman" w:hAnsi="Times New Roman" w:cs="Times New Roman"/>
          <w:sz w:val="24"/>
          <w:szCs w:val="24"/>
        </w:rPr>
        <w:t>como exemplificado n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o bairro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 xml:space="preserve"> Industrial (Tavares, 2022). Esse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mod</w:t>
      </w:r>
      <w:r w:rsidR="00ED2371" w:rsidRPr="00A620D4">
        <w:rPr>
          <w:rFonts w:ascii="Times New Roman" w:eastAsia="Times New Roman" w:hAnsi="Times New Roman" w:cs="Times New Roman"/>
          <w:sz w:val="24"/>
          <w:szCs w:val="24"/>
        </w:rPr>
        <w:t>elo de desenvolvimento resultou em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graves problemas, como o 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 xml:space="preserve">aumento das enchentes e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 extinção de espécies, 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>incluindo o caranguejo-uçá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 xml:space="preserve">diversas espécies de </w:t>
      </w:r>
      <w:r w:rsidR="00F068AF" w:rsidRPr="00A620D4">
        <w:rPr>
          <w:rFonts w:ascii="Times New Roman" w:eastAsia="Times New Roman" w:hAnsi="Times New Roman" w:cs="Times New Roman"/>
          <w:sz w:val="24"/>
          <w:szCs w:val="24"/>
        </w:rPr>
        <w:t>peixes e mariscos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(DUARTE; REZENDE, 2019).</w:t>
      </w:r>
    </w:p>
    <w:p w14:paraId="049C16AD" w14:textId="77777777" w:rsidR="00A5739D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A696A" w14:textId="6D42BEB4" w:rsidR="00CE5136" w:rsidRPr="00A620D4" w:rsidRDefault="008B2E18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As comunidades tradicionais, 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 xml:space="preserve">incluindo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catadoras de marisco e pescadoras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>, tê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>enfrentado uma significativa perda 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sua</w:t>
      </w:r>
      <w:r w:rsidR="0060556C" w:rsidRPr="00A620D4">
        <w:rPr>
          <w:rFonts w:ascii="Times New Roman" w:eastAsia="Times New Roman" w:hAnsi="Times New Roman" w:cs="Times New Roman"/>
          <w:sz w:val="24"/>
          <w:szCs w:val="24"/>
        </w:rPr>
        <w:t>s condições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de produção econômica e cultural em nossa capital.</w:t>
      </w:r>
    </w:p>
    <w:p w14:paraId="731E8B37" w14:textId="77777777" w:rsidR="00A5739D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CFA8CD" w14:textId="11D51447" w:rsidR="00A5739D" w:rsidRPr="00A620D4" w:rsidRDefault="00F068AF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hAnsi="Times New Roman" w:cs="Times New Roman"/>
          <w:sz w:val="24"/>
          <w:szCs w:val="24"/>
        </w:rPr>
        <w:t>Atualmente, há uma carência de estudos que identifiquem e mapeiem as zonas críticas para avaliar os níveis de destruição dos manguezais em Aracaju. Observa-se que áreas de manguezal nos bairros Lamarão, 13 de Julho, Santa Maria, Areia Branca, Robalo, São José, Coroa do Meio e na área de “preservação” do Tramandaí perderam completamente sua capacidade de produção e regeneração.</w:t>
      </w:r>
    </w:p>
    <w:p w14:paraId="367796EC" w14:textId="77777777" w:rsidR="00F068AF" w:rsidRPr="00A620D4" w:rsidRDefault="00F068AF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EDDB4" w14:textId="1FD9F1A2" w:rsidR="00CE5136" w:rsidRPr="00A620D4" w:rsidRDefault="002D1B50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>Um e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studo realizado (SANTOS;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FEITOSA, 2023)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fornece uma análise temporal e espacial das áreas de manguezais na região metropolita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na entre os anos de 1985 e 2022.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O estudo aponta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“apesar das diversas pressões e da degradação dos manguezais, essas áreas mostraram um crescimento ao longo do tempo.”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Esse crescimento pode ser atribuído à capacidade dos manguezais de se expandirem para áreas menos impactadas socioambientalmente. </w:t>
      </w:r>
    </w:p>
    <w:p w14:paraId="3A8BA900" w14:textId="77777777" w:rsidR="00A5739D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9C2FA4" w14:textId="601C4C3A" w:rsidR="00CE5136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Em 2025, talvez não seja possível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reafirmar esse crescim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ento devido ao acelerado avanço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das últimas 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bras de alto impacto ambiental n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os manguezais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construção de pontes, condomínios e casas particulares, conjuntos habitacionais, canais de irrigação e carcinicultura, além dos processos poluentes que transformam 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os manguezais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canais de rios em verdadeiros esgotos a céu aberto.</w:t>
      </w:r>
    </w:p>
    <w:p w14:paraId="1ADF2777" w14:textId="77777777" w:rsidR="00A5739D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DC6AB0" w14:textId="1B9183AA" w:rsidR="00CE5136" w:rsidRPr="00A620D4" w:rsidRDefault="008B2E18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Ao mesmo tempo, não 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se observam recursos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nem políticas efetivas 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 xml:space="preserve">voltadas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para a recuperação das áreas degradadas. A criação de duas estações de conservação</w:t>
      </w:r>
      <w:r w:rsidR="00DD043D" w:rsidRPr="00A6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como a do Poxim, é importante, mas são insuficientes para ampliar as condições de regeneração 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>dos manguezais 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melhorar 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 xml:space="preserve">tanto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o meio ambiente 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 xml:space="preserve">quanto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>s condições de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vida das comunidades tradicionais. </w:t>
      </w:r>
    </w:p>
    <w:p w14:paraId="7DF9B820" w14:textId="77777777" w:rsidR="00A5739D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F5C00C" w14:textId="541D766E" w:rsidR="00CE5136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Nos últimos anos,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E69" w:rsidRPr="00A620D4">
        <w:rPr>
          <w:rFonts w:ascii="Times New Roman" w:eastAsia="Times New Roman" w:hAnsi="Times New Roman" w:cs="Times New Roman"/>
          <w:sz w:val="24"/>
          <w:szCs w:val="24"/>
        </w:rPr>
        <w:t xml:space="preserve">surgiram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novas 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áreas de conflito ambiental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, em decorrência da c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>onstruç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ão do Projeto de Macro Drenagem</w:t>
      </w:r>
      <w:r w:rsidR="008B2E18" w:rsidRPr="00A620D4">
        <w:rPr>
          <w:rFonts w:ascii="Times New Roman" w:eastAsia="Times New Roman" w:hAnsi="Times New Roman" w:cs="Times New Roman"/>
          <w:sz w:val="24"/>
          <w:szCs w:val="24"/>
        </w:rPr>
        <w:t xml:space="preserve"> nos bairros da antiga zona de expansão.</w:t>
      </w:r>
    </w:p>
    <w:p w14:paraId="701990CB" w14:textId="77777777" w:rsidR="00A5739D" w:rsidRPr="00A620D4" w:rsidRDefault="00A5739D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D56B98" w14:textId="1A88918D" w:rsidR="00CE5136" w:rsidRPr="00A620D4" w:rsidRDefault="008B2E18" w:rsidP="00A5739D">
      <w:pPr>
        <w:pStyle w:val="normal1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Ante o exposto, </w:t>
      </w:r>
      <w:r w:rsidR="00A43E69" w:rsidRPr="00A620D4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urge</w:t>
      </w:r>
      <w:r w:rsidR="00A43E69" w:rsidRPr="00A620D4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que coloquemos o Município de Aracaju em um novo patamar de proteção socioambiental 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A43E69" w:rsidRPr="00A620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s áreas de manguezais, 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da adoção de política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>s de curto, médio e longo prazo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que viabilizem a recuperação, conservação e o uso sustentável dos mangue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>zais, contribuindo para mitigar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os efeito</w:t>
      </w:r>
      <w:r w:rsidR="00A43E69" w:rsidRPr="00A620D4">
        <w:rPr>
          <w:rFonts w:ascii="Times New Roman" w:eastAsia="Times New Roman" w:hAnsi="Times New Roman" w:cs="Times New Roman"/>
          <w:sz w:val="24"/>
          <w:szCs w:val="24"/>
        </w:rPr>
        <w:t>s da crise climática, proteger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as espécies e </w:t>
      </w:r>
      <w:r w:rsidR="00A43E69" w:rsidRPr="00A620D4">
        <w:rPr>
          <w:rFonts w:ascii="Times New Roman" w:eastAsia="Times New Roman" w:hAnsi="Times New Roman" w:cs="Times New Roman"/>
          <w:sz w:val="24"/>
          <w:szCs w:val="24"/>
        </w:rPr>
        <w:t>assegurar</w:t>
      </w:r>
      <w:r w:rsidR="00A5739D" w:rsidRPr="00A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D4">
        <w:rPr>
          <w:rFonts w:ascii="Times New Roman" w:eastAsia="Times New Roman" w:hAnsi="Times New Roman" w:cs="Times New Roman"/>
          <w:sz w:val="24"/>
          <w:szCs w:val="24"/>
        </w:rPr>
        <w:t>uma vida digna à nossa população.</w:t>
      </w:r>
    </w:p>
    <w:p w14:paraId="588D7AF6" w14:textId="77777777" w:rsidR="00CE5136" w:rsidRPr="00A620D4" w:rsidRDefault="00CE5136" w:rsidP="00A5739D">
      <w:pPr>
        <w:pStyle w:val="normal1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3EA1D" w14:textId="77777777" w:rsidR="00A43E69" w:rsidRPr="00A620D4" w:rsidRDefault="00A43E69" w:rsidP="00A5739D">
      <w:pPr>
        <w:pStyle w:val="normal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D4"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14:paraId="5FF60B16" w14:textId="0029409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LMEIDA, F. C. (2008). A história da devastação dos manguezais aracajuanos. Dissertação de Mestrado, Universidade Federal de Sergipe. São Cristóvão, SE, Brasil.</w:t>
      </w:r>
    </w:p>
    <w:p w14:paraId="7D14261A" w14:textId="7777777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DUARTE, Thiago Lima Santana; REZENDE, Viviane Almeida. Degradação dos manguezais em Aracaju/SE (Brasil): impactos socioeconômicos na atividade de catador do caranguejo-uçá (Ucides </w:t>
      </w:r>
      <w:proofErr w:type="spellStart"/>
      <w:r w:rsidRPr="00A620D4">
        <w:rPr>
          <w:rFonts w:ascii="Times New Roman" w:eastAsia="Times New Roman" w:hAnsi="Times New Roman" w:cs="Times New Roman"/>
          <w:sz w:val="24"/>
          <w:szCs w:val="24"/>
        </w:rPr>
        <w:t>cordatus</w:t>
      </w:r>
      <w:proofErr w:type="spellEnd"/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). Revista Brasileira de Meio Ambiente, v. 7, n. 1, 2019. </w:t>
      </w:r>
    </w:p>
    <w:p w14:paraId="0906AEDB" w14:textId="7777777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GOVERNO DE SERGIPE (2012). Projeto da </w:t>
      </w:r>
      <w:proofErr w:type="spellStart"/>
      <w:r w:rsidRPr="00A620D4">
        <w:rPr>
          <w:rFonts w:ascii="Times New Roman" w:eastAsia="Times New Roman" w:hAnsi="Times New Roman" w:cs="Times New Roman"/>
          <w:sz w:val="24"/>
          <w:szCs w:val="24"/>
        </w:rPr>
        <w:t>Adema</w:t>
      </w:r>
      <w:proofErr w:type="spellEnd"/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 revela quantitativo do manguezal do Estado. Governo de Sergipe publicado e capturado em 23/01/2025 (https://www.se.gov.br/index.php/noticias/desenvolvimento/projeto-da-adema-revela-quantitativo-do-manguezal-do-estado)</w:t>
      </w:r>
    </w:p>
    <w:p w14:paraId="606EC154" w14:textId="7777777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lastRenderedPageBreak/>
        <w:t>IBAMA. Portaria nº 034/03-N, 24 de junho de 2003. Serviço Público Federal. Ministério do Meio Ambiente. Disponível em http://bioteia.com.br/apadelta/wp-content/uploads/DocumentosAPA/Legislacao/27%20-%20PT0034-03.06.03%20CARANGUEJO.PDF . Acesso em 02/04/2016.</w:t>
      </w:r>
    </w:p>
    <w:p w14:paraId="13FB8F15" w14:textId="7777777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SANTOS T. J; FEITOSA F. S.; SANTOS C. A. (2024). ANÁLISE ESPAÇO-TEMPORAL DOS MANGUEZAIS NA REGIÃO METROPOLITANA DE SERGIPE. Anais do XX Congresso Brasileiro de Geografia Física Aplicada. Universidade Federal da Paraíba.</w:t>
      </w:r>
    </w:p>
    <w:p w14:paraId="34ACCAC2" w14:textId="7777777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TAVARES, J. A. V. (2022). Urbanização e os manguezais: um estudo sobre o município de Aracaju/Sergipe. Revista Real Conhecer - v.2, n.7 Julho (2022).</w:t>
      </w:r>
    </w:p>
    <w:p w14:paraId="63EB3BCE" w14:textId="77777777" w:rsidR="00CE5136" w:rsidRPr="00A620D4" w:rsidRDefault="008B2E18" w:rsidP="00A5739D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VARGAS, M. A. M. (1984, </w:t>
      </w:r>
      <w:proofErr w:type="spellStart"/>
      <w:r w:rsidRPr="00A620D4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A620D4">
        <w:rPr>
          <w:rFonts w:ascii="Times New Roman" w:eastAsia="Times New Roman" w:hAnsi="Times New Roman" w:cs="Times New Roman"/>
          <w:sz w:val="24"/>
          <w:szCs w:val="24"/>
        </w:rPr>
        <w:t xml:space="preserve">). Levantamento socioeconômico da população humana envolvida com a captura do caranguejo-uçá/SE. Sergipe: </w:t>
      </w:r>
      <w:proofErr w:type="spellStart"/>
      <w:r w:rsidRPr="00A620D4">
        <w:rPr>
          <w:rFonts w:ascii="Times New Roman" w:eastAsia="Times New Roman" w:hAnsi="Times New Roman" w:cs="Times New Roman"/>
          <w:sz w:val="24"/>
          <w:szCs w:val="24"/>
        </w:rPr>
        <w:t>Adema</w:t>
      </w:r>
      <w:proofErr w:type="spellEnd"/>
      <w:r w:rsidRPr="00A62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24B0A" w14:textId="77777777" w:rsidR="00CE5136" w:rsidRPr="00A620D4" w:rsidRDefault="00CE5136" w:rsidP="00A5739D">
      <w:pPr>
        <w:pStyle w:val="normal1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5AC7B" w14:textId="77777777" w:rsidR="00CE5136" w:rsidRPr="00A620D4" w:rsidRDefault="008B2E18" w:rsidP="00A5739D">
      <w:pPr>
        <w:pStyle w:val="normal1"/>
        <w:spacing w:line="276" w:lineRule="auto"/>
        <w:ind w:firstLine="414"/>
        <w:jc w:val="center"/>
        <w:rPr>
          <w:rFonts w:ascii="Times New Roman" w:hAnsi="Times New Roman" w:cs="Times New Roman"/>
          <w:sz w:val="24"/>
          <w:szCs w:val="24"/>
        </w:rPr>
      </w:pPr>
      <w:r w:rsidRPr="00A620D4">
        <w:rPr>
          <w:rFonts w:ascii="Times New Roman" w:eastAsia="Times New Roman" w:hAnsi="Times New Roman" w:cs="Times New Roman"/>
          <w:sz w:val="24"/>
          <w:szCs w:val="24"/>
        </w:rPr>
        <w:t>Palácio Graccho Cardoso, 27 de janeiro de 2025.</w:t>
      </w:r>
    </w:p>
    <w:p w14:paraId="4916A919" w14:textId="77777777" w:rsidR="00CE5136" w:rsidRDefault="00CE5136" w:rsidP="00A5739D">
      <w:pPr>
        <w:pStyle w:val="normal1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6209B0" w14:textId="77777777" w:rsidR="00CE5136" w:rsidRDefault="008B2E18" w:rsidP="00A5739D">
      <w:pPr>
        <w:pStyle w:val="normal1"/>
        <w:spacing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D1A641B" w14:textId="77777777" w:rsidR="00CE5136" w:rsidRDefault="008B2E18" w:rsidP="00A5739D">
      <w:pPr>
        <w:pStyle w:val="normal1"/>
        <w:spacing w:line="276" w:lineRule="auto"/>
        <w:ind w:firstLine="414"/>
        <w:jc w:val="center"/>
      </w:pPr>
      <w:r>
        <w:rPr>
          <w:noProof/>
          <w:lang w:eastAsia="pt-BR" w:bidi="ar-SA"/>
        </w:rPr>
        <w:drawing>
          <wp:inline distT="0" distB="0" distL="0" distR="0" wp14:anchorId="56A2A54D" wp14:editId="38AC60CD">
            <wp:extent cx="2706370" cy="73088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136">
      <w:headerReference w:type="default" r:id="rId7"/>
      <w:headerReference w:type="first" r:id="rId8"/>
      <w:pgSz w:w="11906" w:h="16838"/>
      <w:pgMar w:top="2835" w:right="1701" w:bottom="1418" w:left="1701" w:header="709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42FC" w14:textId="77777777" w:rsidR="00D81E98" w:rsidRDefault="00D81E98">
      <w:r>
        <w:separator/>
      </w:r>
    </w:p>
  </w:endnote>
  <w:endnote w:type="continuationSeparator" w:id="0">
    <w:p w14:paraId="2303B979" w14:textId="77777777" w:rsidR="00D81E98" w:rsidRDefault="00D8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3DCB" w14:textId="77777777" w:rsidR="00D81E98" w:rsidRDefault="00D81E98">
      <w:r>
        <w:separator/>
      </w:r>
    </w:p>
  </w:footnote>
  <w:footnote w:type="continuationSeparator" w:id="0">
    <w:p w14:paraId="634C2311" w14:textId="77777777" w:rsidR="00D81E98" w:rsidRDefault="00D8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937B" w14:textId="77777777" w:rsidR="00CE5136" w:rsidRDefault="008B2E18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216" behindDoc="1" locked="0" layoutInCell="0" allowOverlap="1" wp14:anchorId="3FD52003" wp14:editId="6E39E1B0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D9CD6C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26AA65E7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72141533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077E2DE8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0EB3D1CF" w14:textId="77777777" w:rsidR="00CE5136" w:rsidRPr="00A5739D" w:rsidRDefault="008B2E18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 w:rsidRPr="00A5739D"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14:paraId="2384B257" w14:textId="77777777" w:rsidR="00CE5136" w:rsidRPr="00A5739D" w:rsidRDefault="008B2E18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 w:rsidRPr="00A5739D"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1886" w14:textId="77777777" w:rsidR="00CE5136" w:rsidRDefault="008B2E18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240" behindDoc="1" locked="0" layoutInCell="0" allowOverlap="1" wp14:anchorId="3D940B88" wp14:editId="738B3E24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F870C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0D2CC44F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0973C23A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38EECF09" w14:textId="77777777" w:rsidR="00CE5136" w:rsidRDefault="00CE5136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14:paraId="3C896D4D" w14:textId="77777777" w:rsidR="00CE5136" w:rsidRDefault="008B2E18">
    <w:pPr>
      <w:pStyle w:val="normal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SERGIPE</w:t>
    </w:r>
  </w:p>
  <w:p w14:paraId="7F33056D" w14:textId="77777777" w:rsidR="00CE5136" w:rsidRDefault="008B2E18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36"/>
    <w:rsid w:val="000169C0"/>
    <w:rsid w:val="00064EB5"/>
    <w:rsid w:val="00071E95"/>
    <w:rsid w:val="000E5530"/>
    <w:rsid w:val="00176C32"/>
    <w:rsid w:val="001B29E9"/>
    <w:rsid w:val="001F4582"/>
    <w:rsid w:val="002A7F95"/>
    <w:rsid w:val="002D1B50"/>
    <w:rsid w:val="00302133"/>
    <w:rsid w:val="003C33F7"/>
    <w:rsid w:val="00440CA6"/>
    <w:rsid w:val="00581421"/>
    <w:rsid w:val="005E6BF7"/>
    <w:rsid w:val="0060556C"/>
    <w:rsid w:val="00646FB3"/>
    <w:rsid w:val="0065505D"/>
    <w:rsid w:val="00673D03"/>
    <w:rsid w:val="00686D38"/>
    <w:rsid w:val="0069441C"/>
    <w:rsid w:val="006A58D7"/>
    <w:rsid w:val="006A60FF"/>
    <w:rsid w:val="00713439"/>
    <w:rsid w:val="00740FBF"/>
    <w:rsid w:val="007465D7"/>
    <w:rsid w:val="007755AA"/>
    <w:rsid w:val="007B2F13"/>
    <w:rsid w:val="0080094F"/>
    <w:rsid w:val="00814475"/>
    <w:rsid w:val="00816034"/>
    <w:rsid w:val="008B2E18"/>
    <w:rsid w:val="008E7B08"/>
    <w:rsid w:val="00972E77"/>
    <w:rsid w:val="00992A77"/>
    <w:rsid w:val="00992B1D"/>
    <w:rsid w:val="009F4B09"/>
    <w:rsid w:val="00A300A6"/>
    <w:rsid w:val="00A30E76"/>
    <w:rsid w:val="00A32BC2"/>
    <w:rsid w:val="00A43E69"/>
    <w:rsid w:val="00A5739D"/>
    <w:rsid w:val="00A620D4"/>
    <w:rsid w:val="00A72628"/>
    <w:rsid w:val="00AB7302"/>
    <w:rsid w:val="00AC0529"/>
    <w:rsid w:val="00AC2351"/>
    <w:rsid w:val="00BB4953"/>
    <w:rsid w:val="00C56EA4"/>
    <w:rsid w:val="00C66765"/>
    <w:rsid w:val="00C717BD"/>
    <w:rsid w:val="00C73DBC"/>
    <w:rsid w:val="00C80920"/>
    <w:rsid w:val="00CE5136"/>
    <w:rsid w:val="00CE5487"/>
    <w:rsid w:val="00D75E88"/>
    <w:rsid w:val="00D81E98"/>
    <w:rsid w:val="00D91017"/>
    <w:rsid w:val="00DB30EC"/>
    <w:rsid w:val="00DD043D"/>
    <w:rsid w:val="00E05034"/>
    <w:rsid w:val="00E309E0"/>
    <w:rsid w:val="00E43BAF"/>
    <w:rsid w:val="00E633CE"/>
    <w:rsid w:val="00ED2371"/>
    <w:rsid w:val="00F068AF"/>
    <w:rsid w:val="00F22811"/>
    <w:rsid w:val="00F565BA"/>
    <w:rsid w:val="00F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4DCD"/>
  <w15:docId w15:val="{F2D0F398-3840-4861-849F-0F064FE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jc w:val="center"/>
      <w:outlineLvl w:val="0"/>
    </w:pPr>
    <w:rPr>
      <w:color w:val="000000"/>
      <w:u w:val="single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spacing w:before="240" w:after="60"/>
      <w:outlineLvl w:val="3"/>
    </w:pPr>
    <w:rPr>
      <w:b/>
      <w:color w:val="000000"/>
      <w:sz w:val="28"/>
      <w:szCs w:val="28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1"/>
    <w:next w:val="Corpodetexto"/>
    <w:uiPriority w:val="10"/>
    <w:qFormat/>
    <w:pPr>
      <w:jc w:val="center"/>
    </w:pPr>
    <w:rPr>
      <w:b/>
      <w:color w:val="00000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0">
    <w:name w:val="LO-normal0"/>
    <w:qFormat/>
  </w:style>
  <w:style w:type="paragraph" w:customStyle="1" w:styleId="normal11">
    <w:name w:val="normal11"/>
    <w:qFormat/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33C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3CE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176C3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Nívia Félix</dc:creator>
  <cp:lastModifiedBy>Nívia Félix</cp:lastModifiedBy>
  <cp:revision>2</cp:revision>
  <dcterms:created xsi:type="dcterms:W3CDTF">2025-02-05T14:48:00Z</dcterms:created>
  <dcterms:modified xsi:type="dcterms:W3CDTF">2025-02-05T14:48:00Z</dcterms:modified>
  <dc:language>pt-BR</dc:language>
</cp:coreProperties>
</file>