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PROJETO DE LEI Nº ____/202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4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4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Autoria: Vereadora Professora Sonia Meire</w:t>
      </w:r>
    </w:p>
    <w:p>
      <w:pPr>
        <w:pStyle w:val="Normal1"/>
        <w:spacing w:lineRule="auto" w:line="240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4247" w:right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INCLUI O ‘ÒSÚN N’LÈ’ NO CALENDÁRIO RELIGIOSO E CULTURAL DO MUNICÍPIO DE ARACAJU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O Prefeito do Município de Aracaju</w:t>
      </w:r>
    </w:p>
    <w:p>
      <w:pPr>
        <w:pStyle w:val="Normal1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Faz saber que a Câmara de Vereadores de Aracaju aprovou, e ele sanciona a seguinte lei: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Art. 1°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</w:rPr>
        <w:t>Fica incluído no calendário religioso e cultural do Município de Aracaju o Òsún N’lè, evento religioso de matriz africana, aberto ao público, realizado anualmente no primeiro domingo do mês de agosto pela Casa de Candomblé ilè Asé Ojú Ifá Ni Sahara.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Art. 2º</w:t>
      </w:r>
      <w:r>
        <w:rPr>
          <w:rFonts w:eastAsia="Times New Roman" w:cs="Times New Roman" w:ascii="Times New Roman" w:hAnsi="Times New Roman"/>
          <w:sz w:val="24"/>
          <w:szCs w:val="24"/>
        </w:rPr>
        <w:t>. O Poder Executivo adotará as medidas necessárias para propiciar e apoiar a organização e divulgação do evento.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pageBreakBefore w:val="false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Art. 3º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As despesas decorrentes da execução desta Lei correrão por conta das dotações orçamentárias próprias, suplementadas se necessário.</w:t>
      </w:r>
    </w:p>
    <w:p>
      <w:pPr>
        <w:pStyle w:val="Normal11"/>
        <w:spacing w:lineRule="auto" w:line="240"/>
        <w:ind w:hanging="0"/>
        <w:jc w:val="both"/>
        <w:rPr/>
      </w:pPr>
      <w:r>
        <w:rPr/>
      </w:r>
    </w:p>
    <w:p>
      <w:pPr>
        <w:pStyle w:val="LO-normal0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Art. 4º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Esta Lei entrará em vigor na data de sua publicação.</w:t>
      </w:r>
    </w:p>
    <w:p>
      <w:pPr>
        <w:pStyle w:val="LO-normal0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LO-normal0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Art. 5º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Revogam-se as disposições em contrário.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firstLine="414" w:left="0" w:right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Palácio Graccho Cardoso,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 de novembro de 202</w:t>
      </w:r>
      <w:r>
        <w:rPr>
          <w:rFonts w:eastAsia="Times New Roman"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142" w:left="-142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drawing>
          <wp:inline distT="0" distB="0" distL="0" distR="0">
            <wp:extent cx="2868295" cy="7747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  <w:r>
        <w:br w:type="page"/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JUSTIFICATIVA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4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/>
        <w:ind w:firstLine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O Òsún N’lè é uma atividade festiva e religiosa que ocorre desde 2021, sempre no primeiro domingo de agosto, na conhecida rua em frente ao atracadouro dos tototós, em frente ao Mercado Municipal de Aracaju, promovida pela </w:t>
      </w:r>
      <w:r>
        <w:rPr>
          <w:rFonts w:eastAsia="Times New Roman" w:cs="Times New Roman" w:ascii="Times New Roman" w:hAnsi="Times New Roman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asa de candomblé Ilè Asé Ojú Ifá Ni Sahara. A festividade inclui um Xiré aberto ao público, seguido pela entrega de flores ao orixá Ósún, realizada pelos participantes, que adentram o rio utilizando os tototós. Durante essa cerimônia, as flores são depositadas no rio como forma de oferenda. </w:t>
      </w:r>
    </w:p>
    <w:p>
      <w:pPr>
        <w:pStyle w:val="Normal1"/>
        <w:spacing w:lineRule="auto" w:line="360"/>
        <w:ind w:firstLine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O Ilè Asé Ojú Ifá Ni Sahara é um terreiro de candomblé conduzido pela Iyalorisá Sônia Oliveira, mulher preta, aluna especial do doutorado em Educação pela UFS/SE, mestre em Políticas Sociais, professora e perita do MEPCT/SE. Antes da fundação do terreiro, foi criado o Instituto de Estudos e Pesquisas Sócio Étnico-Raciais Comunidade Ojú Ifá, que completará 10 anos em 2025, e deu início a trabalhos sociais, políticos e culturais, visando a organização física do áse.</w:t>
      </w:r>
    </w:p>
    <w:p>
      <w:pPr>
        <w:pStyle w:val="Normal1"/>
        <w:spacing w:lineRule="auto" w:line="360"/>
        <w:ind w:firstLine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Em 2009, Yá Sônia recebeu o título de mãe de santo. Em 2010, começou a construção da primeira sede do terreiro no município de Nossa Senhora do Socorro, no loteamento Pai André. Devido a dificuldades na regulamentação, o terreiro foi transferido para o bairro Novo Paraíso, na cidade de Aracaju. Em 2018, o Ilè Asé estabeleceu-se na periferia de Aracaju, no bairro 17 de Março, onde fixou seu axé.</w:t>
      </w:r>
    </w:p>
    <w:p>
      <w:pPr>
        <w:pStyle w:val="Normal1"/>
        <w:spacing w:lineRule="auto" w:line="360"/>
        <w:ind w:firstLine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Durante esse período, o Ilè Asé, em parceria com o Instituto Ojú Ifá, desenvolveu diversos projetos relevantes para os filhos da casa, para a comunidade local e para a sociedade em geral, dentre eles podemos destacar Òsún N’lè – Entrega de presentes ao òrisá Òsún no tototó.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360" w:before="0" w:after="120"/>
        <w:ind w:firstLine="72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inclusão do evento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Òsún N’lè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que acontece no At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acadouro dos Tototós, no calendário religioso e cultural de Aracaju valoriza a diversidade cultural e religiosa da cidade, assegurando o respeito à liberdade de culto e a promoção da pluralidade. O Candomblé, enquanto religião de matriz africana, carrega uma rica herança cultural e espiritual que tem contribuído significativamente para a identidade e história de Aracaju e de seu povo. Celebrar Oxum, orixá das águas doces, da fertilidade, do amor e da prosperidade, é reafirmar o compromisso da cidade com o respeito às tradições afro-brasileiras, oferecendo aos seus cidadãos um espaço de vivência e expressão cultural.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12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O evento Òsún N’lè, realizado no atracadouro dos Tototós, fortalece o vínculo da população com o rio e suas margens, elementos naturais que são parte integral da vida cotidiana e da cultura local. Além disso, esse reconhecimento contribui para a preservação e promoção das tradições do Candomblé, ampliando o diálogo sobre a importância da diversidade religiosa e promovendo a convivência harmoniosa entre as diversas crenças e práticas espirituais. A inclusão dessa celebração no calendário oficial reforça o combate à intolerância religiosa e fortalece a luta contra o racismo religioso, reafirmando o direito constitucional de liberdade religiosa.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120"/>
        <w:ind w:firstLine="72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Òsún N’lè é um evento tradicional do Candomblé dedicado à orixá Oxum, realizado anualmente no Porto dos Tototós, em Aracaju. A celebração começa com uma roda de xirê, uma cerimônia onde os participantes entoam cânticos sagrados e realizam danças em homenagem a Oxum, evocando sua presença e bênçãos. A roda é um momento de devoção e celebração, reunindo não apenas os filhos da casa de Candomblé, mas também toda a comunidade que deseja participar.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12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Após o xirê, tem início o ponto alto do evento: a entrega das flores. Em um circuito embarcado nos tradicionais tototós — embarcações típicas da região — os devotos, acompanhados de familiares e amigos, lançam flores ao rio em homenagem a Oxum. As flores simbolizam a oferta e a reverência à orixá das águas doces, pedindo bênçãos, proteção e harmonia. Este gesto de entrega conecta os participantes ao elemento sagrado da água e à divindade Oxum, promovendo um momento de fé e conexão espiritual.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12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O Òsún N’lè, portanto, é um encontro que transcende o aspecto religioso, sendo um evento cultural de grande significado para a cidade, que une diferentes gerações e segmentos sociais em torno do respeito às tradições e à natureza, especialmente as águas que são parte vital da história e sobrevivência do povo de Aracaju.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120"/>
        <w:ind w:firstLine="72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Além disso, o Òsún N’lè representa uma oportunidade para a valorização dos saberes da população negra de Aracaju, que frequentemente enfrenta desafios relacionados à invisibilidade e à marginalização. Ao reconhecer esse evento, o Município reafirma seu compromisso com a equidade racial e a promoção da justiça social.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120"/>
        <w:ind w:firstLine="72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Por fim, a inclusão do Òsún N’lè no calendário religioso e cultural de Aracaju não apenas enriquece a agenda cultural da cidade, mas também proporciona um espaço de diálogo intercultural, onde diferentes grupos podem se encontrar e aprender uns com os outros. Essa troca de experiências é vital para a construção de uma sociedade mais coesa e harmoniosa, respeitando a pluralidade que caracteriza nosso município.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firstLine="414" w:left="0" w:right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Palácio Graccho Cardoso,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13 de novembro de 2024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Normal1"/>
        <w:spacing w:lineRule="auto" w:line="240" w:before="0" w:after="0"/>
        <w:ind w:firstLine="414" w:left="0" w:right="0"/>
        <w:rPr/>
      </w:pPr>
      <w:r>
        <w:rPr/>
        <w:drawing>
          <wp:inline distT="0" distB="0" distL="0" distR="0">
            <wp:extent cx="2706370" cy="730885"/>
            <wp:effectExtent l="0" t="0" r="0" b="0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1701" w:gutter="0" w:header="709" w:top="2835" w:footer="709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2310130</wp:posOffset>
          </wp:positionH>
          <wp:positionV relativeFrom="paragraph">
            <wp:posOffset>-55245</wp:posOffset>
          </wp:positionV>
          <wp:extent cx="781050" cy="781050"/>
          <wp:effectExtent l="0" t="0" r="0" b="0"/>
          <wp:wrapSquare wrapText="bothSides"/>
          <wp:docPr id="3" name="image2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  <w:t>ESTADO DE SERGIPE</w:t>
    </w:r>
  </w:p>
  <w:p>
    <w:pPr>
      <w:pStyle w:val="Normal1"/>
      <w:widowControl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CÂMARA MUNICIPAL DE ARACAJU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2310130</wp:posOffset>
          </wp:positionH>
          <wp:positionV relativeFrom="paragraph">
            <wp:posOffset>-55245</wp:posOffset>
          </wp:positionV>
          <wp:extent cx="781050" cy="781050"/>
          <wp:effectExtent l="0" t="0" r="0" b="0"/>
          <wp:wrapSquare wrapText="bothSides"/>
          <wp:docPr id="4" name="image2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  <w:t>ESTADO DE SERGIPE</w:t>
    </w:r>
  </w:p>
  <w:p>
    <w:pPr>
      <w:pStyle w:val="Normal1"/>
      <w:widowControl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CÂMARA MUNICIPAL DE ARACAJU</w:t>
    </w:r>
  </w:p>
</w:hdr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center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singl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60"/>
      <w:ind w:hanging="0" w:left="0" w:right="0"/>
      <w:jc w:val="left"/>
    </w:pPr>
    <w:rPr>
      <w:rFonts w:ascii="Arial" w:hAnsi="Arial" w:eastAsia="Arial" w:cs="Arial"/>
      <w:b/>
      <w:i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60"/>
      <w:ind w:hanging="0" w:left="0" w:right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60"/>
      <w:ind w:hanging="0" w:left="0" w:right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false"/>
      <w:keepLines w:val="false"/>
      <w:pageBreakBefore w:val="false"/>
      <w:widowControl/>
      <w:shd w:val="clear" w:fill="auto"/>
      <w:spacing w:lineRule="auto" w:line="240" w:before="240" w:after="60"/>
      <w:ind w:hanging="0" w:left="0" w:right="0"/>
      <w:jc w:val="left"/>
    </w:pPr>
    <w:rPr>
      <w:rFonts w:ascii="Arial" w:hAnsi="Arial" w:eastAsia="Arial" w:cs="Arial"/>
      <w:b/>
      <w:i/>
      <w:caps w:val="false"/>
      <w:smallCaps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false"/>
      <w:keepLines w:val="false"/>
      <w:pageBreakBefore w:val="false"/>
      <w:widowControl/>
      <w:shd w:val="clear" w:fill="auto"/>
      <w:spacing w:lineRule="auto" w:line="240" w:before="240" w:after="60"/>
      <w:ind w:hanging="0" w:left="0" w:right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O-normal0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Normal11">
    <w:name w:val="normal1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LibreOffice/24.2.2.2$Windows_X86_64 LibreOffice_project/d56cc158d8a96260b836f100ef4b4ef25d6f1a01</Application>
  <AppVersion>15.0000</AppVersion>
  <Pages>4</Pages>
  <Words>973</Words>
  <Characters>5115</Characters>
  <CharactersWithSpaces>6069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2024-11-13T08:41:58Z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