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AB490" w14:textId="6C79BE7F" w:rsidR="00151AF8" w:rsidRPr="00DD19DB" w:rsidRDefault="04548A77" w:rsidP="04548A77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4548A77">
        <w:rPr>
          <w:rFonts w:ascii="Arial" w:eastAsia="Arial" w:hAnsi="Arial" w:cs="Arial"/>
          <w:b/>
          <w:bCs/>
          <w:sz w:val="24"/>
          <w:szCs w:val="24"/>
        </w:rPr>
        <w:t xml:space="preserve">  PROJETO DE LEI Nº</w:t>
      </w:r>
    </w:p>
    <w:p w14:paraId="43DE587F" w14:textId="77777777" w:rsidR="00151AF8" w:rsidRPr="00DD19DB" w:rsidRDefault="00151AF8" w:rsidP="04548A77">
      <w:pPr>
        <w:rPr>
          <w:rFonts w:ascii="Arial" w:eastAsia="Arial" w:hAnsi="Arial" w:cs="Arial"/>
          <w:sz w:val="24"/>
          <w:szCs w:val="24"/>
        </w:rPr>
      </w:pPr>
    </w:p>
    <w:p w14:paraId="4E97F0CA" w14:textId="517DD227" w:rsidR="00761523" w:rsidRPr="00DD19DB" w:rsidRDefault="04548A77" w:rsidP="04548A77">
      <w:pPr>
        <w:rPr>
          <w:rFonts w:ascii="Arial" w:eastAsia="Arial" w:hAnsi="Arial" w:cs="Arial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>Autoria: Vereador Ricardo Vasconcelos</w:t>
      </w:r>
    </w:p>
    <w:p w14:paraId="540E35C5" w14:textId="77777777" w:rsidR="00761523" w:rsidRPr="00DD19DB" w:rsidRDefault="00761523" w:rsidP="04548A77">
      <w:pPr>
        <w:rPr>
          <w:rFonts w:ascii="Arial" w:eastAsia="Arial" w:hAnsi="Arial" w:cs="Arial"/>
          <w:sz w:val="24"/>
          <w:szCs w:val="24"/>
        </w:rPr>
      </w:pPr>
    </w:p>
    <w:p w14:paraId="690E40B7" w14:textId="2C047334" w:rsidR="007001F2" w:rsidRPr="00DD19DB" w:rsidRDefault="04548A77" w:rsidP="04548A77">
      <w:pPr>
        <w:ind w:left="4140"/>
        <w:jc w:val="both"/>
        <w:rPr>
          <w:rFonts w:ascii="Arial" w:eastAsia="Arial" w:hAnsi="Arial" w:cs="Arial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>Dispõe sobre a regularização do bronzeamento artificial no âmbito do município de Aracaju.</w:t>
      </w:r>
    </w:p>
    <w:p w14:paraId="71457EE7" w14:textId="77777777" w:rsidR="00151AF8" w:rsidRPr="00DD19DB" w:rsidRDefault="00151AF8" w:rsidP="04548A77">
      <w:pPr>
        <w:rPr>
          <w:rFonts w:ascii="Arial" w:eastAsia="Arial" w:hAnsi="Arial" w:cs="Arial"/>
          <w:sz w:val="24"/>
          <w:szCs w:val="24"/>
        </w:rPr>
      </w:pPr>
    </w:p>
    <w:p w14:paraId="33BC6F1C" w14:textId="6B5EB08D" w:rsidR="009C05EC" w:rsidRPr="00DD19DB" w:rsidRDefault="04548A77" w:rsidP="04548A77">
      <w:pPr>
        <w:jc w:val="both"/>
        <w:rPr>
          <w:rFonts w:ascii="Arial" w:eastAsia="Arial" w:hAnsi="Arial" w:cs="Arial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>Art. 1º. A regularização da prática do bronzeamento artificial no município de Aracaju consiste no conjunto de medidas de segurança, saúde e bem-estar que visam regulamentar a prática para os usuários e operadores.</w:t>
      </w:r>
    </w:p>
    <w:p w14:paraId="26961A44" w14:textId="0550AFE9" w:rsidR="7379C9F4" w:rsidRPr="00DD19DB" w:rsidRDefault="04548A77" w:rsidP="04548A77">
      <w:pPr>
        <w:jc w:val="both"/>
        <w:rPr>
          <w:rFonts w:ascii="Arial" w:eastAsia="Arial" w:hAnsi="Arial" w:cs="Arial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 xml:space="preserve">Art. 2º. Para os fins desta lei, consideram-se: </w:t>
      </w:r>
    </w:p>
    <w:p w14:paraId="6B5F6FCE" w14:textId="221A1495" w:rsidR="7379C9F4" w:rsidRPr="00DD19DB" w:rsidRDefault="04548A77" w:rsidP="04548A77">
      <w:pPr>
        <w:jc w:val="both"/>
        <w:rPr>
          <w:rFonts w:ascii="Arial" w:eastAsia="Arial" w:hAnsi="Arial" w:cs="Arial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 xml:space="preserve">I. Bronzeamento Artificial: Processo de escurecimento da pele através da exposição controlada a raios ultravioleta (UV) em equipamentos específicos. </w:t>
      </w:r>
    </w:p>
    <w:p w14:paraId="4003B0DF" w14:textId="03195582" w:rsidR="7379C9F4" w:rsidRPr="00DD19DB" w:rsidRDefault="04548A77" w:rsidP="04548A77">
      <w:pPr>
        <w:jc w:val="both"/>
        <w:rPr>
          <w:rFonts w:ascii="Arial" w:eastAsia="Arial" w:hAnsi="Arial" w:cs="Arial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>II. Centros de Bronzeamento Artificial: Estabelecimentos devidamente licenciados e equipados para oferecer serviços de bronzeamento artificial.</w:t>
      </w:r>
    </w:p>
    <w:p w14:paraId="716A2978" w14:textId="0CE6F05D" w:rsidR="00970857" w:rsidRPr="00DD19DB" w:rsidRDefault="00970857" w:rsidP="04548A77">
      <w:pPr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>III. Termo de ciência: Documento assinado pelo cliente ou seu responsável legal, conforme aplicável, no qual este declara ter conhecimento</w:t>
      </w:r>
      <w:r w:rsidR="00A81273" w:rsidRPr="04548A77">
        <w:rPr>
          <w:rFonts w:ascii="Arial" w:eastAsia="Arial" w:hAnsi="Arial" w:cs="Arial"/>
          <w:sz w:val="24"/>
          <w:szCs w:val="24"/>
        </w:rPr>
        <w:t xml:space="preserve"> dos riscos do procedimento.</w:t>
      </w:r>
    </w:p>
    <w:p w14:paraId="5CB0A07D" w14:textId="77777777" w:rsidR="009973EE" w:rsidRPr="00DD19DB" w:rsidRDefault="7379C9F4" w:rsidP="04548A77">
      <w:pPr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 xml:space="preserve">Art. 3º.  </w:t>
      </w:r>
      <w:r w:rsidR="00D80C91" w:rsidRPr="04548A77">
        <w:rPr>
          <w:rFonts w:ascii="Arial" w:eastAsia="Arial" w:hAnsi="Arial" w:cs="Arial"/>
          <w:sz w:val="24"/>
          <w:szCs w:val="24"/>
        </w:rPr>
        <w:t>O estabelecimento que executar procedimento de bronzeamento</w:t>
      </w:r>
      <w:proofErr w:type="gramStart"/>
      <w:r w:rsidR="00D80C91" w:rsidRPr="04548A77">
        <w:rPr>
          <w:rFonts w:ascii="Arial" w:eastAsia="Arial" w:hAnsi="Arial" w:cs="Arial"/>
          <w:sz w:val="24"/>
          <w:szCs w:val="24"/>
        </w:rPr>
        <w:t>, deve</w:t>
      </w:r>
      <w:proofErr w:type="gramEnd"/>
      <w:r w:rsidR="00D80C91" w:rsidRPr="04548A77">
        <w:rPr>
          <w:rFonts w:ascii="Arial" w:eastAsia="Arial" w:hAnsi="Arial" w:cs="Arial"/>
          <w:sz w:val="24"/>
          <w:szCs w:val="24"/>
        </w:rPr>
        <w:t xml:space="preserve"> possuir licença de funcionamento concedida pelo órgão de vigilância sanitária competente, cuja concessão está condicionada ao cumprimento pelo estabelecimento dos seguintes requisitos, entre outros exigidos pela legislação vigente:</w:t>
      </w:r>
    </w:p>
    <w:p w14:paraId="6E2A2598" w14:textId="01A1CC60" w:rsidR="004D6696" w:rsidRPr="00DD19DB" w:rsidRDefault="00D80C91" w:rsidP="04548A77">
      <w:pPr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 xml:space="preserve">I. Disponibilizar </w:t>
      </w:r>
      <w:proofErr w:type="gramStart"/>
      <w:r w:rsidRPr="04548A77">
        <w:rPr>
          <w:rFonts w:ascii="Arial" w:eastAsia="Arial" w:hAnsi="Arial" w:cs="Arial"/>
          <w:sz w:val="24"/>
          <w:szCs w:val="24"/>
        </w:rPr>
        <w:t>à</w:t>
      </w:r>
      <w:proofErr w:type="gramEnd"/>
      <w:r w:rsidRPr="04548A77">
        <w:rPr>
          <w:rFonts w:ascii="Arial" w:eastAsia="Arial" w:hAnsi="Arial" w:cs="Arial"/>
          <w:sz w:val="24"/>
          <w:szCs w:val="24"/>
        </w:rPr>
        <w:t xml:space="preserve"> autoridade sanitária competente, os seguintes documentos:</w:t>
      </w:r>
    </w:p>
    <w:p w14:paraId="6A7865BE" w14:textId="77777777" w:rsidR="004D6696" w:rsidRPr="00DD19DB" w:rsidRDefault="00D80C91" w:rsidP="04548A77">
      <w:pPr>
        <w:jc w:val="both"/>
        <w:rPr>
          <w:rFonts w:ascii="Arial" w:eastAsia="Arial" w:hAnsi="Arial" w:cs="Arial"/>
          <w:color w:val="333333"/>
          <w:sz w:val="24"/>
          <w:szCs w:val="24"/>
        </w:rPr>
      </w:pPr>
      <w:proofErr w:type="gramStart"/>
      <w:r w:rsidRPr="04548A77">
        <w:rPr>
          <w:rFonts w:ascii="Arial" w:eastAsia="Arial" w:hAnsi="Arial" w:cs="Arial"/>
          <w:sz w:val="24"/>
          <w:szCs w:val="24"/>
        </w:rPr>
        <w:t>1.</w:t>
      </w:r>
      <w:proofErr w:type="gramEnd"/>
      <w:r w:rsidRPr="04548A77">
        <w:rPr>
          <w:rFonts w:ascii="Arial" w:eastAsia="Arial" w:hAnsi="Arial" w:cs="Arial"/>
          <w:sz w:val="24"/>
          <w:szCs w:val="24"/>
        </w:rPr>
        <w:t>Cadastro de clientes atendidos pelo estabelecimento, contendo para cada cliente:</w:t>
      </w:r>
    </w:p>
    <w:p w14:paraId="31B43BE0" w14:textId="77777777" w:rsidR="004D6696" w:rsidRPr="00DD19DB" w:rsidRDefault="00D80C91" w:rsidP="04548A77">
      <w:pPr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>a) documento identificando o cliente e contendo as datas, duração e intervalo de cada sessão de bronzeamento, formalmente reconhecido pelo operador da câmara;</w:t>
      </w:r>
    </w:p>
    <w:p w14:paraId="7ADF5666" w14:textId="00BE1ACA" w:rsidR="004D6696" w:rsidRPr="00DD19DB" w:rsidRDefault="00D80C91" w:rsidP="04548A77">
      <w:pPr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>b) o Termo de Ciência do cliente;</w:t>
      </w:r>
    </w:p>
    <w:p w14:paraId="0C26CBE9" w14:textId="3861AF10" w:rsidR="004D6696" w:rsidRPr="00DD19DB" w:rsidRDefault="00D80C91" w:rsidP="04548A77">
      <w:pPr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 xml:space="preserve">2. Instruções de uso da câmara de bronzeamento coincidentes com as informações aprovadas no registro do produto </w:t>
      </w:r>
      <w:r w:rsidR="004D6696" w:rsidRPr="04548A77">
        <w:rPr>
          <w:rFonts w:ascii="Arial" w:eastAsia="Arial" w:hAnsi="Arial" w:cs="Arial"/>
          <w:sz w:val="24"/>
          <w:szCs w:val="24"/>
        </w:rPr>
        <w:t>nos órgãos competentes</w:t>
      </w:r>
      <w:r w:rsidRPr="04548A77">
        <w:rPr>
          <w:rFonts w:ascii="Arial" w:eastAsia="Arial" w:hAnsi="Arial" w:cs="Arial"/>
          <w:sz w:val="24"/>
          <w:szCs w:val="24"/>
        </w:rPr>
        <w:t>.</w:t>
      </w:r>
    </w:p>
    <w:p w14:paraId="54E9DBAB" w14:textId="64E0BD60" w:rsidR="00E7037B" w:rsidRPr="00DD19DB" w:rsidRDefault="00D80C91" w:rsidP="04548A77">
      <w:pPr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lastRenderedPageBreak/>
        <w:t xml:space="preserve">3. Laudo </w:t>
      </w:r>
      <w:r w:rsidR="00E7037B" w:rsidRPr="04548A77">
        <w:rPr>
          <w:rFonts w:ascii="Arial" w:eastAsia="Arial" w:hAnsi="Arial" w:cs="Arial"/>
          <w:sz w:val="24"/>
          <w:szCs w:val="24"/>
        </w:rPr>
        <w:t>de manutenção técnica emitida por empresa autorizada pelo fabricante para realizar a inspeção.</w:t>
      </w:r>
    </w:p>
    <w:p w14:paraId="480A5FB7" w14:textId="77777777" w:rsidR="00AA64BE" w:rsidRPr="00DD19DB" w:rsidRDefault="00D80C91" w:rsidP="04548A77">
      <w:pPr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>4. Registro de eventos adversos ocorridos em sessões de bronzeamento realizadas.</w:t>
      </w:r>
      <w:r w:rsidRPr="00DD19DB">
        <w:rPr>
          <w:rFonts w:ascii="Arial" w:hAnsi="Arial" w:cs="Arial"/>
          <w:color w:val="333333"/>
          <w:sz w:val="24"/>
          <w:szCs w:val="24"/>
        </w:rPr>
        <w:br/>
      </w:r>
      <w:r w:rsidRPr="00DD19DB">
        <w:rPr>
          <w:rFonts w:ascii="Arial" w:hAnsi="Arial" w:cs="Arial"/>
          <w:color w:val="333333"/>
          <w:sz w:val="24"/>
          <w:szCs w:val="24"/>
        </w:rPr>
        <w:br/>
      </w:r>
      <w:r w:rsidRPr="04548A77">
        <w:rPr>
          <w:rFonts w:ascii="Arial" w:eastAsia="Arial" w:hAnsi="Arial" w:cs="Arial"/>
          <w:sz w:val="24"/>
          <w:szCs w:val="24"/>
        </w:rPr>
        <w:t>II. Instalar e operar as câmaras de bronzeamento em ambientes com condições de salubridade, proteção à saúde do trabalhador e conforto ambiental, adequadas à legislação vigente e em conformidade com as especificações estabelecidas pelo fornecedor.</w:t>
      </w:r>
      <w:r w:rsidRPr="00DD19DB">
        <w:rPr>
          <w:rFonts w:ascii="Arial" w:hAnsi="Arial" w:cs="Arial"/>
          <w:color w:val="333333"/>
          <w:sz w:val="24"/>
          <w:szCs w:val="24"/>
        </w:rPr>
        <w:br/>
      </w:r>
      <w:r w:rsidRPr="00DD19DB">
        <w:rPr>
          <w:rFonts w:ascii="Arial" w:hAnsi="Arial" w:cs="Arial"/>
          <w:color w:val="333333"/>
          <w:sz w:val="24"/>
          <w:szCs w:val="24"/>
        </w:rPr>
        <w:br/>
      </w:r>
      <w:r w:rsidRPr="04548A77">
        <w:rPr>
          <w:rFonts w:ascii="Arial" w:eastAsia="Arial" w:hAnsi="Arial" w:cs="Arial"/>
          <w:sz w:val="24"/>
          <w:szCs w:val="24"/>
        </w:rPr>
        <w:t>III. Dispor e executar rotinas de limpeza de artigos e superfícies, inclusive de desinfecção das câmaras de bronzeamento, adotando as instruções do fornecedor e orientações da autoridade sanitária competente.</w:t>
      </w:r>
    </w:p>
    <w:p w14:paraId="33A4911E" w14:textId="77777777" w:rsidR="008F4F06" w:rsidRPr="00DD19DB" w:rsidRDefault="00D80C91" w:rsidP="04548A77">
      <w:pPr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>IV. Garantir o funcionamento seguro das câmaras de bronzeamento, executando os procedimentos de manutenção preventiva e corretiva conforme especificados pelo fornecedor, particularmente as substituições dos emissores de UV do aparelho, na forma e prazos por ele recomendados.</w:t>
      </w:r>
    </w:p>
    <w:p w14:paraId="63B75FE2" w14:textId="77777777" w:rsidR="008F4F06" w:rsidRPr="00DD19DB" w:rsidRDefault="00D80C91" w:rsidP="04548A77">
      <w:pPr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>V. Disponibilizar aos clientes as seguintes informações:</w:t>
      </w:r>
    </w:p>
    <w:p w14:paraId="0B43EC91" w14:textId="77777777" w:rsidR="008F4F06" w:rsidRPr="00DD19DB" w:rsidRDefault="00D80C91" w:rsidP="04548A77">
      <w:pPr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 xml:space="preserve">1. Os avisos de riscos e cuidados </w:t>
      </w:r>
    </w:p>
    <w:p w14:paraId="355D37BF" w14:textId="62913F1C" w:rsidR="000B51D1" w:rsidRPr="00DD19DB" w:rsidRDefault="00D80C91" w:rsidP="04548A77">
      <w:pPr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 xml:space="preserve">2. As instruções de uso </w:t>
      </w:r>
      <w:r w:rsidR="000B51D1" w:rsidRPr="04548A77">
        <w:rPr>
          <w:rFonts w:ascii="Arial" w:eastAsia="Arial" w:hAnsi="Arial" w:cs="Arial"/>
          <w:sz w:val="24"/>
          <w:szCs w:val="24"/>
        </w:rPr>
        <w:t>das câmaras.</w:t>
      </w:r>
    </w:p>
    <w:p w14:paraId="44D9544B" w14:textId="4D5E339F" w:rsidR="00EF2575" w:rsidRPr="00DD19DB" w:rsidRDefault="00D80C91" w:rsidP="04548A77">
      <w:pPr>
        <w:jc w:val="both"/>
        <w:rPr>
          <w:rFonts w:ascii="Arial" w:eastAsia="Arial" w:hAnsi="Arial" w:cs="Arial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>VI. Afixar em local visível ao público a licença de funcionamento concedida pelo órgão de vigilância sanitária competente.</w:t>
      </w:r>
    </w:p>
    <w:p w14:paraId="12C2543D" w14:textId="7E992463" w:rsidR="009B7E71" w:rsidRPr="00DD19DB" w:rsidRDefault="04548A77" w:rsidP="04548A77">
      <w:pPr>
        <w:jc w:val="both"/>
        <w:rPr>
          <w:rFonts w:ascii="Arial" w:eastAsia="Arial" w:hAnsi="Arial" w:cs="Arial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>Art. 4º Fica expressamente proibido o procedimento de bronzeamento, nas seguintes situações:</w:t>
      </w:r>
    </w:p>
    <w:p w14:paraId="23D2E2D0" w14:textId="0D403D48" w:rsidR="009B7E71" w:rsidRPr="00DD19DB" w:rsidRDefault="04548A77" w:rsidP="04548A77">
      <w:pPr>
        <w:jc w:val="both"/>
        <w:rPr>
          <w:rFonts w:ascii="Arial" w:eastAsia="Arial" w:hAnsi="Arial" w:cs="Arial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>a) em pessoa com idade inferior a 16 (dezesseis) anos;</w:t>
      </w:r>
    </w:p>
    <w:p w14:paraId="6E321308" w14:textId="207B9A43" w:rsidR="009B7E71" w:rsidRPr="00DD19DB" w:rsidRDefault="04548A77" w:rsidP="04548A77">
      <w:pPr>
        <w:jc w:val="both"/>
        <w:rPr>
          <w:rFonts w:ascii="Arial" w:eastAsia="Arial" w:hAnsi="Arial" w:cs="Arial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>b) em pessoa com idade entre 16 (dezesseis) anos e 18 (dezoito) anos, sem expressa autorização de seu responsável legal;</w:t>
      </w:r>
    </w:p>
    <w:p w14:paraId="48FD59F0" w14:textId="054C3A05" w:rsidR="009B7E71" w:rsidRPr="00DD19DB" w:rsidRDefault="009B7E71" w:rsidP="04548A77">
      <w:pPr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>c) em pessoa que não fornecer ao estabelecimento seu Termo de Ciência;</w:t>
      </w:r>
    </w:p>
    <w:p w14:paraId="79C07F9C" w14:textId="4B3E8C2A" w:rsidR="009B7E71" w:rsidRPr="00DD19DB" w:rsidRDefault="009B7E71" w:rsidP="04548A77">
      <w:pPr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>d) na falta de operador da câmara de bronzeamento ou sua ausência durante procedimento de bronzeamento;</w:t>
      </w:r>
    </w:p>
    <w:p w14:paraId="55217365" w14:textId="775CE688" w:rsidR="009B7E71" w:rsidRPr="00DD19DB" w:rsidRDefault="009B7E71" w:rsidP="04548A77">
      <w:pPr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>e) em sessões programadas em desacordo as orientações do fornecedor da câmara de bronzeamento, indicadas nas instruções de uso;</w:t>
      </w:r>
    </w:p>
    <w:p w14:paraId="75398368" w14:textId="6FAADF21" w:rsidR="009B7E71" w:rsidRPr="00DD19DB" w:rsidRDefault="009B7E71" w:rsidP="04548A77">
      <w:pPr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>f) em intervalo inferior a 48 (quarenta e oito) horas, computado a partir do último procedimento de bronzeamento;</w:t>
      </w:r>
    </w:p>
    <w:p w14:paraId="6DDFB907" w14:textId="368B2051" w:rsidR="009B7E71" w:rsidRPr="00DD19DB" w:rsidRDefault="009B7E71" w:rsidP="04548A77">
      <w:pPr>
        <w:jc w:val="both"/>
        <w:rPr>
          <w:rFonts w:ascii="Arial" w:eastAsia="Arial" w:hAnsi="Arial" w:cs="Arial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lastRenderedPageBreak/>
        <w:t>g) em câmara de bronzeamento cuj</w:t>
      </w:r>
      <w:r w:rsidR="00AF0828" w:rsidRPr="04548A77">
        <w:rPr>
          <w:rFonts w:ascii="Arial" w:eastAsia="Arial" w:hAnsi="Arial" w:cs="Arial"/>
          <w:sz w:val="24"/>
          <w:szCs w:val="24"/>
        </w:rPr>
        <w:t>o Laudo de manutenção técnica esteja vencido.</w:t>
      </w:r>
    </w:p>
    <w:p w14:paraId="47B4AAB4" w14:textId="4802676B" w:rsidR="00890850" w:rsidRDefault="00DD19DB" w:rsidP="04548A77">
      <w:pPr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 xml:space="preserve">Art. 5º A inobservância do disposto nesta </w:t>
      </w:r>
      <w:r w:rsidR="00BF5EB5" w:rsidRPr="04548A77">
        <w:rPr>
          <w:rFonts w:ascii="Arial" w:eastAsia="Arial" w:hAnsi="Arial" w:cs="Arial"/>
          <w:sz w:val="24"/>
          <w:szCs w:val="24"/>
        </w:rPr>
        <w:t>Lei</w:t>
      </w:r>
      <w:r w:rsidRPr="04548A77">
        <w:rPr>
          <w:rFonts w:ascii="Arial" w:eastAsia="Arial" w:hAnsi="Arial" w:cs="Arial"/>
          <w:sz w:val="24"/>
          <w:szCs w:val="24"/>
        </w:rPr>
        <w:t xml:space="preserve"> configura infração de natureza sanitária, sujeitando os infratores às penalidades </w:t>
      </w:r>
      <w:r w:rsidR="00DA43C9" w:rsidRPr="04548A77">
        <w:rPr>
          <w:rFonts w:ascii="Arial" w:eastAsia="Arial" w:hAnsi="Arial" w:cs="Arial"/>
          <w:sz w:val="24"/>
          <w:szCs w:val="24"/>
        </w:rPr>
        <w:t>aqui previstas</w:t>
      </w:r>
      <w:r w:rsidRPr="04548A77">
        <w:rPr>
          <w:rFonts w:ascii="Arial" w:eastAsia="Arial" w:hAnsi="Arial" w:cs="Arial"/>
          <w:sz w:val="24"/>
          <w:szCs w:val="24"/>
        </w:rPr>
        <w:t>, sem prejuízo de outras sanções de natureza civil ou penal.</w:t>
      </w:r>
    </w:p>
    <w:p w14:paraId="2CB4ACF2" w14:textId="26D291A5" w:rsidR="00166775" w:rsidRPr="00166775" w:rsidRDefault="00166775" w:rsidP="04548A77">
      <w:pPr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 xml:space="preserve">Art. 6° - O Executivo Municipal observará a necessidade de aplicar as penalidades </w:t>
      </w:r>
      <w:r w:rsidR="00B7043D" w:rsidRPr="04548A77">
        <w:rPr>
          <w:rFonts w:ascii="Arial" w:eastAsia="Arial" w:hAnsi="Arial" w:cs="Arial"/>
          <w:sz w:val="24"/>
          <w:szCs w:val="24"/>
        </w:rPr>
        <w:t>por descumprimento desta Lei.</w:t>
      </w:r>
    </w:p>
    <w:p w14:paraId="2A5B981B" w14:textId="77777777" w:rsidR="00166775" w:rsidRPr="00166775" w:rsidRDefault="00166775" w:rsidP="04548A77">
      <w:pPr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>§1º - São penalidades aplicáveis conforme caput deste artigo:</w:t>
      </w:r>
    </w:p>
    <w:p w14:paraId="16E715A2" w14:textId="77777777" w:rsidR="00166775" w:rsidRPr="00166775" w:rsidRDefault="00166775" w:rsidP="04548A77">
      <w:pPr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 xml:space="preserve">I – multa de </w:t>
      </w:r>
      <w:proofErr w:type="gramStart"/>
      <w:r w:rsidRPr="04548A77">
        <w:rPr>
          <w:rFonts w:ascii="Arial" w:eastAsia="Arial" w:hAnsi="Arial" w:cs="Arial"/>
          <w:sz w:val="24"/>
          <w:szCs w:val="24"/>
        </w:rPr>
        <w:t>250 (duzentos e cinquenta) Unidade</w:t>
      </w:r>
      <w:proofErr w:type="gramEnd"/>
      <w:r w:rsidRPr="04548A77">
        <w:rPr>
          <w:rFonts w:ascii="Arial" w:eastAsia="Arial" w:hAnsi="Arial" w:cs="Arial"/>
          <w:sz w:val="24"/>
          <w:szCs w:val="24"/>
        </w:rPr>
        <w:t xml:space="preserve"> Fiscal Padrão do Estado de Sergipe - UFP/SE e descarte do produto adulterado;</w:t>
      </w:r>
    </w:p>
    <w:p w14:paraId="3A35A8D1" w14:textId="77777777" w:rsidR="00166775" w:rsidRPr="00166775" w:rsidRDefault="00166775" w:rsidP="04548A77">
      <w:pPr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>II – interdição total do estabelecimento até comprovação de saneamento da irregularidade;</w:t>
      </w:r>
    </w:p>
    <w:p w14:paraId="379A1FE9" w14:textId="77777777" w:rsidR="00166775" w:rsidRPr="00166775" w:rsidRDefault="00166775" w:rsidP="04548A77">
      <w:pPr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>III – cassar o Alvará e a Licença de Funcionamento</w:t>
      </w:r>
    </w:p>
    <w:p w14:paraId="2EC6FA26" w14:textId="77777777" w:rsidR="00166775" w:rsidRPr="00166775" w:rsidRDefault="00166775" w:rsidP="04548A77">
      <w:pPr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 xml:space="preserve">§2º - </w:t>
      </w:r>
      <w:proofErr w:type="gramStart"/>
      <w:r w:rsidRPr="04548A77">
        <w:rPr>
          <w:rFonts w:ascii="Arial" w:eastAsia="Arial" w:hAnsi="Arial" w:cs="Arial"/>
          <w:sz w:val="24"/>
          <w:szCs w:val="24"/>
        </w:rPr>
        <w:t>O primeiro procedimento administrativo para apurar as irregularidades contidas no caput culminarão</w:t>
      </w:r>
      <w:proofErr w:type="gramEnd"/>
      <w:r w:rsidRPr="04548A77">
        <w:rPr>
          <w:rFonts w:ascii="Arial" w:eastAsia="Arial" w:hAnsi="Arial" w:cs="Arial"/>
          <w:sz w:val="24"/>
          <w:szCs w:val="24"/>
        </w:rPr>
        <w:t xml:space="preserve"> na aplicação cumulativa das penalidades contidas nos incisos I e II do §1º.</w:t>
      </w:r>
    </w:p>
    <w:p w14:paraId="227748BE" w14:textId="77777777" w:rsidR="00166775" w:rsidRPr="00166775" w:rsidRDefault="00166775" w:rsidP="04548A77">
      <w:pPr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>§3º o procedimento administrativo que confirmar a reincidência na infração contida no caput deste artigo culminará na aplicação da penalidade do inciso III do §1º.</w:t>
      </w:r>
    </w:p>
    <w:p w14:paraId="685C5990" w14:textId="7DE364DA" w:rsidR="00DA43C9" w:rsidRPr="00DD19DB" w:rsidRDefault="00DA43C9" w:rsidP="04548A77">
      <w:pPr>
        <w:jc w:val="both"/>
        <w:rPr>
          <w:rFonts w:ascii="Arial" w:eastAsia="Arial" w:hAnsi="Arial" w:cs="Arial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 xml:space="preserve">Art. </w:t>
      </w:r>
      <w:r w:rsidR="0012456B" w:rsidRPr="04548A77">
        <w:rPr>
          <w:rFonts w:ascii="Arial" w:eastAsia="Arial" w:hAnsi="Arial" w:cs="Arial"/>
          <w:sz w:val="24"/>
          <w:szCs w:val="24"/>
        </w:rPr>
        <w:t>7</w:t>
      </w:r>
      <w:r w:rsidRPr="04548A77">
        <w:rPr>
          <w:rFonts w:ascii="Arial" w:eastAsia="Arial" w:hAnsi="Arial" w:cs="Arial"/>
          <w:sz w:val="24"/>
          <w:szCs w:val="24"/>
        </w:rPr>
        <w:t xml:space="preserve">º Os valores arrecadados pela cobrança de multas aplicadas em conformidade com esta Lei serão </w:t>
      </w:r>
      <w:proofErr w:type="gramStart"/>
      <w:r w:rsidRPr="04548A77">
        <w:rPr>
          <w:rFonts w:ascii="Arial" w:eastAsia="Arial" w:hAnsi="Arial" w:cs="Arial"/>
          <w:sz w:val="24"/>
          <w:szCs w:val="24"/>
        </w:rPr>
        <w:t>destinados ao Fundo Municipal de Defesa do Consumidor (FUNDECOM) DO MUNICIPIO DE ARACAJU em consonância com o inciso VII, do artigo 7º, da Lei Municipal 4.485 de 02 de maio de 2013</w:t>
      </w:r>
      <w:proofErr w:type="gramEnd"/>
      <w:r w:rsidRPr="04548A77">
        <w:rPr>
          <w:rFonts w:ascii="Arial" w:eastAsia="Arial" w:hAnsi="Arial" w:cs="Arial"/>
          <w:sz w:val="24"/>
          <w:szCs w:val="24"/>
        </w:rPr>
        <w:t>.</w:t>
      </w:r>
    </w:p>
    <w:p w14:paraId="44EAF62D" w14:textId="285270DE" w:rsidR="009D6CBA" w:rsidRPr="00DD19DB" w:rsidRDefault="04548A77" w:rsidP="04548A77">
      <w:pPr>
        <w:jc w:val="both"/>
        <w:rPr>
          <w:rFonts w:ascii="Arial" w:eastAsia="Arial" w:hAnsi="Arial" w:cs="Arial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>Art. 8º.  O Poder Executivo, através de seu órgão competente, fiscalizará o cumprimento do disposto nesta Lei.</w:t>
      </w:r>
    </w:p>
    <w:p w14:paraId="3C34295B" w14:textId="6537CBB0" w:rsidR="00F55AD2" w:rsidRPr="00DD19DB" w:rsidRDefault="04548A77" w:rsidP="04548A77">
      <w:pPr>
        <w:jc w:val="both"/>
        <w:rPr>
          <w:rFonts w:ascii="Arial" w:eastAsia="Arial" w:hAnsi="Arial" w:cs="Arial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 xml:space="preserve">Art. 9º. Esta Lei será regulamentada por ato do Poder Executivo Municipal. </w:t>
      </w:r>
    </w:p>
    <w:p w14:paraId="067F82AC" w14:textId="353894CA" w:rsidR="00B63A22" w:rsidRPr="00DD19DB" w:rsidRDefault="04548A77" w:rsidP="04548A77">
      <w:pPr>
        <w:jc w:val="both"/>
        <w:rPr>
          <w:rFonts w:ascii="Arial" w:eastAsia="Arial" w:hAnsi="Arial" w:cs="Arial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>Art. 10º. As despesas decorrentes da execução desta Lei correrão por conta das dotações orçamentárias próprias, suplementadas, se necessário.</w:t>
      </w:r>
    </w:p>
    <w:p w14:paraId="45B0E3C9" w14:textId="5A99CF6D" w:rsidR="00BD4423" w:rsidRPr="00DD19DB" w:rsidRDefault="04548A77" w:rsidP="04548A77">
      <w:pPr>
        <w:jc w:val="both"/>
        <w:rPr>
          <w:rFonts w:ascii="Arial" w:eastAsia="Arial" w:hAnsi="Arial" w:cs="Arial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>Art. 11º.  Esta Lei entra em vigor na data de sua publicação, revogando-se as disposições em contrário.</w:t>
      </w:r>
    </w:p>
    <w:p w14:paraId="236E82C5" w14:textId="78A42033" w:rsidR="002C76B1" w:rsidRPr="00DD19DB" w:rsidRDefault="04548A77" w:rsidP="04548A77">
      <w:pPr>
        <w:jc w:val="both"/>
        <w:rPr>
          <w:rFonts w:ascii="Arial" w:eastAsia="Arial" w:hAnsi="Arial" w:cs="Arial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 xml:space="preserve">Palácio </w:t>
      </w:r>
      <w:proofErr w:type="spellStart"/>
      <w:r w:rsidRPr="04548A77">
        <w:rPr>
          <w:rFonts w:ascii="Arial" w:eastAsia="Arial" w:hAnsi="Arial" w:cs="Arial"/>
          <w:sz w:val="24"/>
          <w:szCs w:val="24"/>
        </w:rPr>
        <w:t>Graccho</w:t>
      </w:r>
      <w:proofErr w:type="spellEnd"/>
      <w:r w:rsidRPr="04548A77">
        <w:rPr>
          <w:rFonts w:ascii="Arial" w:eastAsia="Arial" w:hAnsi="Arial" w:cs="Arial"/>
          <w:sz w:val="24"/>
          <w:szCs w:val="24"/>
        </w:rPr>
        <w:t xml:space="preserve"> Cardoso, Aracaju/SE 19 de junho de 2024.</w:t>
      </w:r>
    </w:p>
    <w:p w14:paraId="0DD5EA60" w14:textId="77777777" w:rsidR="002C76B1" w:rsidRPr="00DD19DB" w:rsidRDefault="04548A77" w:rsidP="00CB4E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>Ricardo Vasconcelos,</w:t>
      </w:r>
    </w:p>
    <w:p w14:paraId="470FFD7D" w14:textId="5201B938" w:rsidR="005C4BDA" w:rsidRDefault="04548A77" w:rsidP="00CB4E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4548A77">
        <w:rPr>
          <w:rFonts w:ascii="Arial" w:eastAsia="Arial" w:hAnsi="Arial" w:cs="Arial"/>
          <w:sz w:val="24"/>
          <w:szCs w:val="24"/>
        </w:rPr>
        <w:t>Vereador.</w:t>
      </w:r>
    </w:p>
    <w:p w14:paraId="5B3EEF30" w14:textId="30F38755" w:rsidR="00CB4EC2" w:rsidRPr="00CB4EC2" w:rsidRDefault="00CB4EC2" w:rsidP="00CB4E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186AFDF9" w14:textId="6668CD70" w:rsidR="00CB4EC2" w:rsidRPr="00CB4EC2" w:rsidRDefault="00CB4EC2" w:rsidP="00CB4EC2">
      <w:pPr>
        <w:jc w:val="center"/>
        <w:rPr>
          <w:rFonts w:ascii="Arial" w:eastAsia="Arial" w:hAnsi="Arial" w:cs="Arial"/>
          <w:sz w:val="24"/>
          <w:szCs w:val="24"/>
        </w:rPr>
      </w:pPr>
      <w:r w:rsidRPr="00CB4EC2">
        <w:rPr>
          <w:rFonts w:ascii="Arial" w:eastAsia="Arial" w:hAnsi="Arial" w:cs="Arial"/>
          <w:sz w:val="24"/>
          <w:szCs w:val="24"/>
        </w:rPr>
        <w:t>JUSTIFICA</w:t>
      </w:r>
      <w:bookmarkStart w:id="0" w:name="_GoBack"/>
      <w:bookmarkEnd w:id="0"/>
      <w:r w:rsidRPr="00CB4EC2">
        <w:rPr>
          <w:rFonts w:ascii="Arial" w:eastAsia="Arial" w:hAnsi="Arial" w:cs="Arial"/>
          <w:sz w:val="24"/>
          <w:szCs w:val="24"/>
        </w:rPr>
        <w:t>TIVA</w:t>
      </w:r>
      <w:r w:rsidRPr="00CB4EC2">
        <w:rPr>
          <w:rFonts w:ascii="Arial" w:eastAsia="Arial" w:hAnsi="Arial" w:cs="Arial"/>
          <w:sz w:val="24"/>
          <w:szCs w:val="24"/>
        </w:rPr>
        <w:br/>
      </w:r>
    </w:p>
    <w:p w14:paraId="5B9E04C2" w14:textId="77777777" w:rsidR="00CB4EC2" w:rsidRPr="00CB4EC2" w:rsidRDefault="00CB4EC2" w:rsidP="00CB4EC2">
      <w:pPr>
        <w:jc w:val="both"/>
        <w:rPr>
          <w:rFonts w:ascii="Arial" w:eastAsia="Arial" w:hAnsi="Arial" w:cs="Arial"/>
          <w:sz w:val="24"/>
          <w:szCs w:val="24"/>
        </w:rPr>
      </w:pPr>
      <w:r w:rsidRPr="00CB4EC2">
        <w:rPr>
          <w:rFonts w:ascii="Arial" w:eastAsia="Arial" w:hAnsi="Arial" w:cs="Arial"/>
          <w:sz w:val="24"/>
          <w:szCs w:val="24"/>
        </w:rPr>
        <w:br/>
        <w:t>Este projeto é um instrumento para fazer justiça a uma categoria profissional de mulheres lutadoras e trabalhadoras, que vem buscando o reconhecimento e a regulamentação de sua profissão.</w:t>
      </w:r>
    </w:p>
    <w:p w14:paraId="5829755F" w14:textId="77777777" w:rsidR="00CB4EC2" w:rsidRPr="00CB4EC2" w:rsidRDefault="00CB4EC2" w:rsidP="00CB4EC2">
      <w:pPr>
        <w:jc w:val="both"/>
        <w:rPr>
          <w:rFonts w:ascii="Arial" w:eastAsia="Arial" w:hAnsi="Arial" w:cs="Arial"/>
          <w:sz w:val="24"/>
          <w:szCs w:val="24"/>
        </w:rPr>
      </w:pPr>
      <w:r w:rsidRPr="00CB4EC2">
        <w:rPr>
          <w:rFonts w:ascii="Arial" w:eastAsia="Arial" w:hAnsi="Arial" w:cs="Arial"/>
          <w:sz w:val="24"/>
          <w:szCs w:val="24"/>
        </w:rPr>
        <w:t>As </w:t>
      </w:r>
      <w:proofErr w:type="spellStart"/>
      <w:r w:rsidRPr="00CB4EC2">
        <w:rPr>
          <w:rFonts w:ascii="Arial" w:eastAsia="Arial" w:hAnsi="Arial" w:cs="Arial"/>
          <w:sz w:val="24"/>
          <w:szCs w:val="24"/>
        </w:rPr>
        <w:t>personal</w:t>
      </w:r>
      <w:proofErr w:type="spellEnd"/>
      <w:r w:rsidRPr="00CB4EC2">
        <w:rPr>
          <w:rFonts w:ascii="Arial" w:eastAsia="Arial" w:hAnsi="Arial" w:cs="Arial"/>
          <w:sz w:val="24"/>
          <w:szCs w:val="24"/>
        </w:rPr>
        <w:t xml:space="preserve"> bronze são profissionais do ramo da estética que, por meio do domínio de técnicas específicas, produzem artificialmente o bronzeamento da pele. O resultado mais conhecido produzido por essas técnicas é a famosa “marquinha de biquíni” que, além do resultado estético, produz uma imediata elevação da autoestima da mulher atendida, garantem as profissionais.</w:t>
      </w:r>
    </w:p>
    <w:p w14:paraId="172634C0" w14:textId="77777777" w:rsidR="00CB4EC2" w:rsidRPr="00CB4EC2" w:rsidRDefault="00CB4EC2" w:rsidP="00CB4EC2">
      <w:pPr>
        <w:jc w:val="both"/>
        <w:rPr>
          <w:rFonts w:ascii="Arial" w:eastAsia="Arial" w:hAnsi="Arial" w:cs="Arial"/>
          <w:sz w:val="24"/>
          <w:szCs w:val="24"/>
        </w:rPr>
      </w:pPr>
      <w:r w:rsidRPr="00CB4EC2">
        <w:rPr>
          <w:rFonts w:ascii="Arial" w:eastAsia="Arial" w:hAnsi="Arial" w:cs="Arial"/>
          <w:sz w:val="24"/>
          <w:szCs w:val="24"/>
        </w:rPr>
        <w:t xml:space="preserve">No âmbito da legislação municipal, </w:t>
      </w:r>
      <w:proofErr w:type="gramStart"/>
      <w:r w:rsidRPr="00CB4EC2">
        <w:rPr>
          <w:rFonts w:ascii="Arial" w:eastAsia="Arial" w:hAnsi="Arial" w:cs="Arial"/>
          <w:sz w:val="24"/>
          <w:szCs w:val="24"/>
        </w:rPr>
        <w:t>encontram-se</w:t>
      </w:r>
      <w:proofErr w:type="gramEnd"/>
      <w:r w:rsidRPr="00CB4EC2">
        <w:rPr>
          <w:rFonts w:ascii="Arial" w:eastAsia="Arial" w:hAnsi="Arial" w:cs="Arial"/>
          <w:sz w:val="24"/>
          <w:szCs w:val="24"/>
        </w:rPr>
        <w:t xml:space="preserve"> hoje impedidas de obter o alvará de funcionamento para seus estabelecimentos, um problema que o presente projeto de lei visa corrigir.</w:t>
      </w:r>
    </w:p>
    <w:p w14:paraId="5108EE84" w14:textId="3993E21D" w:rsidR="00CB4EC2" w:rsidRPr="00CB4EC2" w:rsidRDefault="00CB4EC2" w:rsidP="00CB4EC2">
      <w:pPr>
        <w:jc w:val="both"/>
        <w:rPr>
          <w:rFonts w:ascii="Arial" w:eastAsia="Arial" w:hAnsi="Arial" w:cs="Arial"/>
          <w:sz w:val="24"/>
          <w:szCs w:val="24"/>
        </w:rPr>
      </w:pPr>
      <w:r w:rsidRPr="00CB4EC2">
        <w:rPr>
          <w:rFonts w:ascii="Arial" w:eastAsia="Arial" w:hAnsi="Arial" w:cs="Arial"/>
          <w:sz w:val="24"/>
          <w:szCs w:val="24"/>
        </w:rPr>
        <w:t>Por isso, peço às vereadoras e aos vereadores desta cidade que aprovem o presente projeto de lei.</w:t>
      </w:r>
    </w:p>
    <w:p w14:paraId="6512D52D" w14:textId="77777777" w:rsidR="00CB4EC2" w:rsidRPr="00DD19DB" w:rsidRDefault="00CB4EC2" w:rsidP="04548A7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CB4EC2" w:rsidRPr="00DD19DB" w:rsidSect="00B63A22">
      <w:headerReference w:type="default" r:id="rId9"/>
      <w:pgSz w:w="11906" w:h="16838"/>
      <w:pgMar w:top="1417" w:right="1416" w:bottom="108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2A190" w14:textId="77777777" w:rsidR="001B7558" w:rsidRDefault="001B7558" w:rsidP="00761523">
      <w:pPr>
        <w:spacing w:after="0" w:line="240" w:lineRule="auto"/>
      </w:pPr>
      <w:r>
        <w:separator/>
      </w:r>
    </w:p>
  </w:endnote>
  <w:endnote w:type="continuationSeparator" w:id="0">
    <w:p w14:paraId="699505AD" w14:textId="77777777" w:rsidR="001B7558" w:rsidRDefault="001B7558" w:rsidP="00761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F9956" w14:textId="77777777" w:rsidR="001B7558" w:rsidRDefault="001B7558" w:rsidP="00761523">
      <w:pPr>
        <w:spacing w:after="0" w:line="240" w:lineRule="auto"/>
      </w:pPr>
      <w:r>
        <w:separator/>
      </w:r>
    </w:p>
  </w:footnote>
  <w:footnote w:type="continuationSeparator" w:id="0">
    <w:p w14:paraId="3D8873C8" w14:textId="77777777" w:rsidR="001B7558" w:rsidRDefault="001B7558" w:rsidP="00761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18D9A" w14:textId="77777777" w:rsidR="00761523" w:rsidRDefault="00761523" w:rsidP="00761523">
    <w:pPr>
      <w:pStyle w:val="Cabealho"/>
      <w:jc w:val="center"/>
    </w:pPr>
    <w:r w:rsidRPr="006A5FD6">
      <w:rPr>
        <w:noProof/>
        <w:lang w:eastAsia="pt-BR"/>
      </w:rPr>
      <w:drawing>
        <wp:inline distT="0" distB="0" distL="0" distR="0" wp14:anchorId="19911911" wp14:editId="6E7B73D2">
          <wp:extent cx="869484" cy="952500"/>
          <wp:effectExtent l="0" t="0" r="6985" b="0"/>
          <wp:docPr id="449774319" name="Imagem 449774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762" cy="969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5245A8" w14:textId="77777777" w:rsidR="00761523" w:rsidRPr="006A5FD6" w:rsidRDefault="00761523" w:rsidP="00761523">
    <w:pPr>
      <w:pStyle w:val="Cabealho"/>
      <w:spacing w:line="288" w:lineRule="auto"/>
      <w:jc w:val="center"/>
      <w:rPr>
        <w:rFonts w:ascii="Arial" w:hAnsi="Arial" w:cs="Arial"/>
        <w:b/>
        <w:sz w:val="20"/>
        <w:szCs w:val="20"/>
      </w:rPr>
    </w:pPr>
    <w:r w:rsidRPr="006A5FD6">
      <w:rPr>
        <w:rFonts w:ascii="Arial" w:hAnsi="Arial" w:cs="Arial"/>
        <w:b/>
        <w:sz w:val="20"/>
        <w:szCs w:val="20"/>
      </w:rPr>
      <w:t>ESTADO DE SERGIPE</w:t>
    </w:r>
  </w:p>
  <w:p w14:paraId="48470969" w14:textId="77777777" w:rsidR="00761523" w:rsidRPr="006A5FD6" w:rsidRDefault="00761523" w:rsidP="00761523">
    <w:pPr>
      <w:pStyle w:val="Cabealho"/>
      <w:spacing w:line="288" w:lineRule="auto"/>
      <w:jc w:val="center"/>
      <w:rPr>
        <w:rFonts w:ascii="Arial" w:hAnsi="Arial" w:cs="Arial"/>
        <w:b/>
        <w:sz w:val="20"/>
        <w:szCs w:val="20"/>
      </w:rPr>
    </w:pPr>
    <w:r w:rsidRPr="006A5FD6">
      <w:rPr>
        <w:rFonts w:ascii="Arial" w:hAnsi="Arial" w:cs="Arial"/>
        <w:b/>
        <w:sz w:val="20"/>
        <w:szCs w:val="20"/>
      </w:rPr>
      <w:t>MUNICÍPIO DE ARACAJU</w:t>
    </w:r>
  </w:p>
  <w:p w14:paraId="6840D0A4" w14:textId="77777777" w:rsidR="00761523" w:rsidRPr="006A5FD6" w:rsidRDefault="00761523" w:rsidP="00761523">
    <w:pPr>
      <w:pStyle w:val="Cabealho"/>
      <w:spacing w:line="288" w:lineRule="auto"/>
      <w:jc w:val="center"/>
      <w:rPr>
        <w:rFonts w:ascii="Arial" w:hAnsi="Arial" w:cs="Arial"/>
      </w:rPr>
    </w:pPr>
    <w:r w:rsidRPr="006A5FD6">
      <w:rPr>
        <w:rFonts w:ascii="Arial" w:hAnsi="Arial" w:cs="Arial"/>
        <w:b/>
        <w:sz w:val="20"/>
        <w:szCs w:val="20"/>
      </w:rPr>
      <w:t>CÂMARA MUNICIPAL DE ARACAJU</w:t>
    </w:r>
  </w:p>
  <w:p w14:paraId="74236E69" w14:textId="77777777" w:rsidR="00761523" w:rsidRDefault="0076152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60A9C"/>
    <w:multiLevelType w:val="hybridMultilevel"/>
    <w:tmpl w:val="C9BCC5BC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3D0004"/>
    <w:multiLevelType w:val="hybridMultilevel"/>
    <w:tmpl w:val="75D28F6A"/>
    <w:lvl w:ilvl="0" w:tplc="375E8864">
      <w:start w:val="1"/>
      <w:numFmt w:val="lowerLetter"/>
      <w:lvlText w:val="%1)"/>
      <w:lvlJc w:val="left"/>
      <w:pPr>
        <w:ind w:left="633" w:hanging="474"/>
      </w:pPr>
      <w:rPr>
        <w:rFonts w:ascii="Arial" w:eastAsia="Arial" w:hAnsi="Arial" w:cs="Arial" w:hint="default"/>
        <w:color w:val="727269"/>
        <w:spacing w:val="-1"/>
        <w:w w:val="104"/>
        <w:sz w:val="41"/>
        <w:szCs w:val="41"/>
      </w:rPr>
    </w:lvl>
    <w:lvl w:ilvl="1" w:tplc="F8383156">
      <w:numFmt w:val="bullet"/>
      <w:lvlText w:val="•"/>
      <w:lvlJc w:val="left"/>
      <w:pPr>
        <w:ind w:left="2084" w:hanging="474"/>
      </w:pPr>
      <w:rPr>
        <w:rFonts w:hint="default"/>
      </w:rPr>
    </w:lvl>
    <w:lvl w:ilvl="2" w:tplc="FE164B82">
      <w:numFmt w:val="bullet"/>
      <w:lvlText w:val="•"/>
      <w:lvlJc w:val="left"/>
      <w:pPr>
        <w:ind w:left="3528" w:hanging="474"/>
      </w:pPr>
      <w:rPr>
        <w:rFonts w:hint="default"/>
      </w:rPr>
    </w:lvl>
    <w:lvl w:ilvl="3" w:tplc="453C9A18">
      <w:numFmt w:val="bullet"/>
      <w:lvlText w:val="•"/>
      <w:lvlJc w:val="left"/>
      <w:pPr>
        <w:ind w:left="4972" w:hanging="474"/>
      </w:pPr>
      <w:rPr>
        <w:rFonts w:hint="default"/>
      </w:rPr>
    </w:lvl>
    <w:lvl w:ilvl="4" w:tplc="139CC28C">
      <w:numFmt w:val="bullet"/>
      <w:lvlText w:val="•"/>
      <w:lvlJc w:val="left"/>
      <w:pPr>
        <w:ind w:left="6416" w:hanging="474"/>
      </w:pPr>
      <w:rPr>
        <w:rFonts w:hint="default"/>
      </w:rPr>
    </w:lvl>
    <w:lvl w:ilvl="5" w:tplc="F3525A6E">
      <w:numFmt w:val="bullet"/>
      <w:lvlText w:val="•"/>
      <w:lvlJc w:val="left"/>
      <w:pPr>
        <w:ind w:left="7860" w:hanging="474"/>
      </w:pPr>
      <w:rPr>
        <w:rFonts w:hint="default"/>
      </w:rPr>
    </w:lvl>
    <w:lvl w:ilvl="6" w:tplc="BA62BAD4">
      <w:numFmt w:val="bullet"/>
      <w:lvlText w:val="•"/>
      <w:lvlJc w:val="left"/>
      <w:pPr>
        <w:ind w:left="9304" w:hanging="474"/>
      </w:pPr>
      <w:rPr>
        <w:rFonts w:hint="default"/>
      </w:rPr>
    </w:lvl>
    <w:lvl w:ilvl="7" w:tplc="E00238DA">
      <w:numFmt w:val="bullet"/>
      <w:lvlText w:val="•"/>
      <w:lvlJc w:val="left"/>
      <w:pPr>
        <w:ind w:left="10748" w:hanging="474"/>
      </w:pPr>
      <w:rPr>
        <w:rFonts w:hint="default"/>
      </w:rPr>
    </w:lvl>
    <w:lvl w:ilvl="8" w:tplc="8F04F280">
      <w:numFmt w:val="bullet"/>
      <w:lvlText w:val="•"/>
      <w:lvlJc w:val="left"/>
      <w:pPr>
        <w:ind w:left="12192" w:hanging="47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F2"/>
    <w:rsid w:val="00073785"/>
    <w:rsid w:val="000B51D1"/>
    <w:rsid w:val="00106DD9"/>
    <w:rsid w:val="0012456B"/>
    <w:rsid w:val="00151AF8"/>
    <w:rsid w:val="001605A2"/>
    <w:rsid w:val="00166775"/>
    <w:rsid w:val="00176999"/>
    <w:rsid w:val="001B7558"/>
    <w:rsid w:val="001D4EC2"/>
    <w:rsid w:val="001F36DF"/>
    <w:rsid w:val="0025477D"/>
    <w:rsid w:val="002B57BE"/>
    <w:rsid w:val="002C70F9"/>
    <w:rsid w:val="002C76B1"/>
    <w:rsid w:val="00305DB6"/>
    <w:rsid w:val="00361847"/>
    <w:rsid w:val="00364E36"/>
    <w:rsid w:val="003E67E9"/>
    <w:rsid w:val="00411C00"/>
    <w:rsid w:val="00432891"/>
    <w:rsid w:val="00466FA2"/>
    <w:rsid w:val="00496008"/>
    <w:rsid w:val="004C730A"/>
    <w:rsid w:val="004D6696"/>
    <w:rsid w:val="00566366"/>
    <w:rsid w:val="00581F2D"/>
    <w:rsid w:val="00596EAF"/>
    <w:rsid w:val="005B25D5"/>
    <w:rsid w:val="005C4BDA"/>
    <w:rsid w:val="00650D5B"/>
    <w:rsid w:val="006F210E"/>
    <w:rsid w:val="007001F2"/>
    <w:rsid w:val="0075004B"/>
    <w:rsid w:val="007532C9"/>
    <w:rsid w:val="00761523"/>
    <w:rsid w:val="00773114"/>
    <w:rsid w:val="007743D7"/>
    <w:rsid w:val="007908ED"/>
    <w:rsid w:val="00845798"/>
    <w:rsid w:val="00851F08"/>
    <w:rsid w:val="00862C6F"/>
    <w:rsid w:val="00890850"/>
    <w:rsid w:val="008B489C"/>
    <w:rsid w:val="008F4F06"/>
    <w:rsid w:val="00911110"/>
    <w:rsid w:val="0091516A"/>
    <w:rsid w:val="009275F6"/>
    <w:rsid w:val="00942068"/>
    <w:rsid w:val="00970857"/>
    <w:rsid w:val="009973EE"/>
    <w:rsid w:val="009B2432"/>
    <w:rsid w:val="009B7E71"/>
    <w:rsid w:val="009C05EC"/>
    <w:rsid w:val="009D6CBA"/>
    <w:rsid w:val="009E4711"/>
    <w:rsid w:val="00A30FE7"/>
    <w:rsid w:val="00A44387"/>
    <w:rsid w:val="00A45EA2"/>
    <w:rsid w:val="00A72956"/>
    <w:rsid w:val="00A81273"/>
    <w:rsid w:val="00A91F46"/>
    <w:rsid w:val="00AA2F47"/>
    <w:rsid w:val="00AA64BE"/>
    <w:rsid w:val="00AB0DEE"/>
    <w:rsid w:val="00AE37DC"/>
    <w:rsid w:val="00AE4645"/>
    <w:rsid w:val="00AF0828"/>
    <w:rsid w:val="00B1583F"/>
    <w:rsid w:val="00B63A22"/>
    <w:rsid w:val="00B7043D"/>
    <w:rsid w:val="00B85965"/>
    <w:rsid w:val="00BB1501"/>
    <w:rsid w:val="00BC125C"/>
    <w:rsid w:val="00BD4423"/>
    <w:rsid w:val="00BE614D"/>
    <w:rsid w:val="00BF5EB5"/>
    <w:rsid w:val="00C0363D"/>
    <w:rsid w:val="00C05A4B"/>
    <w:rsid w:val="00C2022D"/>
    <w:rsid w:val="00C25EC8"/>
    <w:rsid w:val="00C40C9F"/>
    <w:rsid w:val="00C679AF"/>
    <w:rsid w:val="00C77127"/>
    <w:rsid w:val="00CA2037"/>
    <w:rsid w:val="00CB4EC2"/>
    <w:rsid w:val="00CC715A"/>
    <w:rsid w:val="00D41D81"/>
    <w:rsid w:val="00D80C91"/>
    <w:rsid w:val="00DA1782"/>
    <w:rsid w:val="00DA43C9"/>
    <w:rsid w:val="00DD19DB"/>
    <w:rsid w:val="00E7037B"/>
    <w:rsid w:val="00E833FB"/>
    <w:rsid w:val="00EA2EB2"/>
    <w:rsid w:val="00EE2A73"/>
    <w:rsid w:val="00EF2575"/>
    <w:rsid w:val="00F203FB"/>
    <w:rsid w:val="00F55AD2"/>
    <w:rsid w:val="00F9497D"/>
    <w:rsid w:val="00FE18DF"/>
    <w:rsid w:val="04548A77"/>
    <w:rsid w:val="4E8F2B3A"/>
    <w:rsid w:val="7379C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68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001F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61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1523"/>
  </w:style>
  <w:style w:type="paragraph" w:styleId="Rodap">
    <w:name w:val="footer"/>
    <w:basedOn w:val="Normal"/>
    <w:link w:val="RodapChar"/>
    <w:uiPriority w:val="99"/>
    <w:unhideWhenUsed/>
    <w:rsid w:val="00761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1523"/>
  </w:style>
  <w:style w:type="paragraph" w:styleId="Corpodetexto">
    <w:name w:val="Body Text"/>
    <w:basedOn w:val="Normal"/>
    <w:link w:val="CorpodetextoChar"/>
    <w:uiPriority w:val="1"/>
    <w:qFormat/>
    <w:rsid w:val="00EF25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41"/>
      <w:szCs w:val="41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F2575"/>
    <w:rPr>
      <w:rFonts w:ascii="Arial" w:eastAsia="Arial" w:hAnsi="Arial" w:cs="Arial"/>
      <w:sz w:val="41"/>
      <w:szCs w:val="41"/>
      <w:lang w:val="en-US"/>
    </w:rPr>
  </w:style>
  <w:style w:type="paragraph" w:styleId="PargrafodaLista">
    <w:name w:val="List Paragraph"/>
    <w:basedOn w:val="Normal"/>
    <w:uiPriority w:val="1"/>
    <w:qFormat/>
    <w:rsid w:val="00911110"/>
    <w:pPr>
      <w:widowControl w:val="0"/>
      <w:autoSpaceDE w:val="0"/>
      <w:autoSpaceDN w:val="0"/>
      <w:spacing w:before="263" w:after="0" w:line="240" w:lineRule="auto"/>
      <w:ind w:left="138" w:hanging="474"/>
    </w:pPr>
    <w:rPr>
      <w:rFonts w:ascii="Arial" w:eastAsia="Arial" w:hAnsi="Arial" w:cs="Arial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4E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001F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61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1523"/>
  </w:style>
  <w:style w:type="paragraph" w:styleId="Rodap">
    <w:name w:val="footer"/>
    <w:basedOn w:val="Normal"/>
    <w:link w:val="RodapChar"/>
    <w:uiPriority w:val="99"/>
    <w:unhideWhenUsed/>
    <w:rsid w:val="00761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1523"/>
  </w:style>
  <w:style w:type="paragraph" w:styleId="Corpodetexto">
    <w:name w:val="Body Text"/>
    <w:basedOn w:val="Normal"/>
    <w:link w:val="CorpodetextoChar"/>
    <w:uiPriority w:val="1"/>
    <w:qFormat/>
    <w:rsid w:val="00EF25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41"/>
      <w:szCs w:val="41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F2575"/>
    <w:rPr>
      <w:rFonts w:ascii="Arial" w:eastAsia="Arial" w:hAnsi="Arial" w:cs="Arial"/>
      <w:sz w:val="41"/>
      <w:szCs w:val="41"/>
      <w:lang w:val="en-US"/>
    </w:rPr>
  </w:style>
  <w:style w:type="paragraph" w:styleId="PargrafodaLista">
    <w:name w:val="List Paragraph"/>
    <w:basedOn w:val="Normal"/>
    <w:uiPriority w:val="1"/>
    <w:qFormat/>
    <w:rsid w:val="00911110"/>
    <w:pPr>
      <w:widowControl w:val="0"/>
      <w:autoSpaceDE w:val="0"/>
      <w:autoSpaceDN w:val="0"/>
      <w:spacing w:before="263" w:after="0" w:line="240" w:lineRule="auto"/>
      <w:ind w:left="138" w:hanging="474"/>
    </w:pPr>
    <w:rPr>
      <w:rFonts w:ascii="Arial" w:eastAsia="Arial" w:hAnsi="Arial" w:cs="Arial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4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F43823EE-F17A-4563-950A-472500B7A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977</Words>
  <Characters>5282</Characters>
  <Application>Microsoft Office Word</Application>
  <DocSecurity>0</DocSecurity>
  <Lines>44</Lines>
  <Paragraphs>12</Paragraphs>
  <ScaleCrop>false</ScaleCrop>
  <Company/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Aldir Ferreira</dc:creator>
  <cp:keywords/>
  <dc:description/>
  <cp:lastModifiedBy>Aldir Souza Ferreira</cp:lastModifiedBy>
  <cp:revision>102</cp:revision>
  <dcterms:created xsi:type="dcterms:W3CDTF">2023-08-30T11:59:00Z</dcterms:created>
  <dcterms:modified xsi:type="dcterms:W3CDTF">2024-08-13T11:48:00Z</dcterms:modified>
</cp:coreProperties>
</file>