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6" w:after="0"/>
        <w:jc w:val="center"/>
        <w:rPr>
          <w:sz w:val="13"/>
        </w:rPr>
      </w:pPr>
      <w:r>
        <w:rPr>
          <w:sz w:val="13"/>
        </w:rPr>
      </w:r>
    </w:p>
    <w:p>
      <w:pPr>
        <w:pStyle w:val="BodyText"/>
        <w:spacing w:before="90" w:after="0"/>
        <w:ind w:right="375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</w:t>
      </w:r>
      <w:r>
        <w:rPr>
          <w:b/>
          <w:bCs/>
          <w:sz w:val="26"/>
          <w:szCs w:val="26"/>
        </w:rPr>
        <w:t>PROJETO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DE LEI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Nº</w:t>
      </w:r>
    </w:p>
    <w:p>
      <w:pPr>
        <w:pStyle w:val="Normal"/>
        <w:widowControl/>
        <w:shd w:val="clear" w:color="auto" w:fill="FFFFFF"/>
        <w:suppressAutoHyphens w:val="false"/>
        <w:rPr>
          <w:color w:val="000000"/>
          <w:sz w:val="24"/>
          <w:szCs w:val="24"/>
          <w:lang w:val="pt-BR" w:eastAsia="pt-BR"/>
        </w:rPr>
      </w:pPr>
      <w:r>
        <w:rPr>
          <w:color w:val="000000"/>
          <w:sz w:val="24"/>
          <w:szCs w:val="24"/>
          <w:lang w:val="pt-BR" w:eastAsia="pt-BR"/>
        </w:rPr>
      </w:r>
    </w:p>
    <w:tbl>
      <w:tblPr>
        <w:tblW w:w="5959" w:type="dxa"/>
        <w:jc w:val="left"/>
        <w:tblInd w:w="36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5959"/>
      </w:tblGrid>
      <w:tr>
        <w:trPr/>
        <w:tc>
          <w:tcPr>
            <w:tcW w:w="5959" w:type="dxa"/>
            <w:tcBorders/>
          </w:tcPr>
          <w:p>
            <w:pPr>
              <w:pStyle w:val="Normal"/>
              <w:widowControl/>
              <w:suppressAutoHyphens w:val="false"/>
              <w:jc w:val="both"/>
              <w:rPr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FFFFFF" w:val="clear"/>
              </w:rPr>
              <w:t>ESTABELECE INCENTIVOS PARA A CRIAÇÃO DE NÚCLEOS ESPECIALIZADOS DE ATENDIMENTO A MULHERES COM DEFICIÊNCIA, E DÁ OUTRAS PROVIDÊNCIAS.</w:t>
            </w:r>
          </w:p>
        </w:tc>
      </w:tr>
    </w:tbl>
    <w:p>
      <w:pPr>
        <w:pStyle w:val="BodyText"/>
        <w:ind w:left="4320" w:right="121"/>
        <w:jc w:val="both"/>
        <w:rPr>
          <w:rFonts w:eastAsia="Microsoft JhengHei"/>
          <w:b/>
          <w:bCs/>
          <w:lang w:val="pt-BR" w:eastAsia="ar-SA"/>
        </w:rPr>
      </w:pPr>
      <w:r>
        <w:rPr>
          <w:rFonts w:eastAsia="Microsoft JhengHei"/>
          <w:b/>
          <w:bCs/>
          <w:lang w:val="pt-BR" w:eastAsia="ar-SA"/>
        </w:rPr>
      </w:r>
    </w:p>
    <w:p>
      <w:pPr>
        <w:pStyle w:val="Normal"/>
        <w:jc w:val="both"/>
        <w:rPr>
          <w:rFonts w:eastAsia="Microsoft JhengHei"/>
          <w:b/>
          <w:sz w:val="24"/>
          <w:szCs w:val="24"/>
        </w:rPr>
      </w:pPr>
      <w:r>
        <w:rPr>
          <w:rFonts w:eastAsia="Microsoft JhengHei"/>
          <w:b/>
          <w:sz w:val="24"/>
          <w:szCs w:val="24"/>
        </w:rPr>
        <w:t>Autora: Vereadora Sheyla Galba</w:t>
        <w:tab/>
      </w:r>
    </w:p>
    <w:p>
      <w:pPr>
        <w:pStyle w:val="Normal"/>
        <w:jc w:val="both"/>
        <w:rPr>
          <w:rFonts w:eastAsia="Microsoft JhengHei"/>
          <w:b/>
          <w:sz w:val="24"/>
          <w:szCs w:val="24"/>
        </w:rPr>
      </w:pPr>
      <w:r>
        <w:rPr>
          <w:rFonts w:eastAsia="Microsoft JhengHei"/>
          <w:b/>
          <w:sz w:val="24"/>
          <w:szCs w:val="24"/>
        </w:rPr>
      </w:r>
    </w:p>
    <w:p>
      <w:pPr>
        <w:pStyle w:val="Title"/>
        <w:spacing w:before="90" w:after="0"/>
        <w:ind w:left="0"/>
        <w:jc w:val="both"/>
        <w:rPr/>
      </w:pPr>
      <w:r>
        <w:rPr>
          <w:rFonts w:eastAsia="Microsoft JhengHei"/>
          <w:lang w:val="pt-BR" w:eastAsia="ar-SA"/>
        </w:rPr>
        <w:tab/>
        <w:t>O</w:t>
      </w:r>
      <w:r>
        <w:rPr>
          <w:rFonts w:eastAsia="Microsoft JhengHei"/>
          <w:sz w:val="24"/>
          <w:szCs w:val="24"/>
          <w:lang w:val="pt-BR" w:eastAsia="ar-SA"/>
        </w:rPr>
        <w:t xml:space="preserve"> PREFEITO DO MUNICÍPIO DE ARACAJU</w:t>
      </w:r>
    </w:p>
    <w:p>
      <w:pPr>
        <w:pStyle w:val="S13"/>
        <w:spacing w:lineRule="atLeast" w:line="324" w:beforeAutospacing="0" w:before="0" w:afterAutospacing="0" w:after="0"/>
        <w:jc w:val="both"/>
        <w:rPr>
          <w:sz w:val="24"/>
          <w:szCs w:val="24"/>
        </w:rPr>
      </w:pPr>
      <w:r>
        <w:rPr>
          <w:rFonts w:ascii="-webkit-standard" w:hAnsi="-webkit-standard"/>
          <w:color w:val="000000"/>
          <w:sz w:val="24"/>
          <w:szCs w:val="24"/>
        </w:rPr>
        <w:t> </w:t>
      </w:r>
    </w:p>
    <w:p>
      <w:pPr>
        <w:pStyle w:val="S16"/>
        <w:spacing w:lineRule="auto" w:line="360" w:beforeAutospacing="0" w:before="0" w:afterAutospacing="0" w:after="0"/>
        <w:jc w:val="both"/>
        <w:rPr/>
      </w:pPr>
      <w:r>
        <w:rPr>
          <w:rStyle w:val="Bumpedfont15"/>
          <w:color w:val="000000"/>
          <w:sz w:val="24"/>
          <w:szCs w:val="24"/>
        </w:rPr>
        <w:tab/>
        <w:t>Faz saber que a Câmara Municipal de Aracaju aprovou, e ele sanciona a seguinte Lei:</w:t>
      </w:r>
    </w:p>
    <w:p>
      <w:pPr>
        <w:pStyle w:val="BodyText"/>
        <w:spacing w:lineRule="auto" w:line="360"/>
        <w:ind w:left="117" w:right="121"/>
        <w:jc w:val="both"/>
        <w:rPr>
          <w:sz w:val="24"/>
          <w:szCs w:val="24"/>
        </w:rPr>
      </w:pPr>
      <w:r>
        <w:rPr>
          <w:rFonts w:eastAsia="Microsoft JhengHei"/>
          <w:b/>
          <w:bCs/>
          <w:sz w:val="24"/>
          <w:szCs w:val="24"/>
          <w:lang w:val="pt-BR" w:eastAsia="ar-SA"/>
        </w:rPr>
        <w:tab/>
        <w:t xml:space="preserve">Artigo 1° </w:t>
      </w:r>
      <w:r>
        <w:rPr>
          <w:color w:val="000000"/>
          <w:sz w:val="24"/>
          <w:szCs w:val="24"/>
          <w:shd w:fill="FFFFFF" w:val="clear"/>
        </w:rPr>
        <w:t>Esta Lei institui um Programa de incentivos para a criação de núcleos especializados de atendimento a mulheres com deficiência no âmbito do Município de Aracaju.</w:t>
      </w:r>
    </w:p>
    <w:p>
      <w:pPr>
        <w:pStyle w:val="BodyText"/>
        <w:spacing w:lineRule="auto" w:line="360"/>
        <w:ind w:left="117" w:right="121"/>
        <w:jc w:val="both"/>
        <w:rPr>
          <w:sz w:val="24"/>
          <w:szCs w:val="24"/>
        </w:rPr>
      </w:pPr>
      <w:r>
        <w:rPr>
          <w:rFonts w:eastAsia="Microsoft JhengHei"/>
          <w:b/>
          <w:bCs/>
          <w:sz w:val="24"/>
          <w:szCs w:val="24"/>
          <w:lang w:val="pt-BR" w:eastAsia="ar-SA"/>
        </w:rPr>
        <w:tab/>
        <w:t xml:space="preserve">Artigo 2° </w:t>
      </w:r>
      <w:r>
        <w:rPr>
          <w:color w:val="000000"/>
          <w:sz w:val="24"/>
          <w:szCs w:val="24"/>
          <w:shd w:fill="FFFFFF" w:val="clear"/>
        </w:rPr>
        <w:t>Os incentivos previstos nesta Lei destinam-se a apoiar a implementação e manutenção de núcleos que ofereçam serviços de saúde, assistência social, apoio psicológico, reabilitação, capacitação profissional e orientação jurídica às mulheres com deficiência.</w:t>
      </w:r>
    </w:p>
    <w:p>
      <w:pPr>
        <w:pStyle w:val="BodyText"/>
        <w:spacing w:lineRule="auto" w:line="360"/>
        <w:ind w:left="117" w:right="121"/>
        <w:jc w:val="both"/>
        <w:rPr>
          <w:sz w:val="24"/>
          <w:szCs w:val="24"/>
        </w:rPr>
      </w:pPr>
      <w:r>
        <w:rPr>
          <w:rFonts w:eastAsia="Microsoft JhengHei"/>
          <w:b/>
          <w:bCs/>
          <w:sz w:val="24"/>
          <w:szCs w:val="24"/>
          <w:lang w:val="pt-BR" w:eastAsia="ar-SA"/>
        </w:rPr>
        <w:tab/>
        <w:t xml:space="preserve">Artigos 3° </w:t>
      </w:r>
      <w:r>
        <w:rPr>
          <w:rFonts w:eastAsia="Microsoft JhengHei"/>
          <w:bCs/>
          <w:sz w:val="24"/>
          <w:szCs w:val="24"/>
          <w:lang w:val="pt-BR" w:eastAsia="ar-SA"/>
        </w:rPr>
        <w:t>São</w:t>
      </w:r>
      <w:r>
        <w:rPr>
          <w:color w:val="000000"/>
          <w:sz w:val="24"/>
          <w:szCs w:val="24"/>
          <w:shd w:fill="FFFFFF" w:val="clear"/>
        </w:rPr>
        <w:t xml:space="preserve"> considerados núcleos especializados, para os fins desta Lei, as unidades de atendimento multidisciplinar que atendam às seguintes condições:</w:t>
      </w:r>
    </w:p>
    <w:p>
      <w:pPr>
        <w:pStyle w:val="BodyText"/>
        <w:spacing w:lineRule="auto" w:line="360"/>
        <w:ind w:left="117" w:right="121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ab/>
        <w:t>I - ofereçam serviços adaptados às necessidades específicas de mulheres com deficiência;</w:t>
      </w:r>
    </w:p>
    <w:p>
      <w:pPr>
        <w:pStyle w:val="BodyText"/>
        <w:spacing w:lineRule="auto" w:line="360"/>
        <w:ind w:left="117" w:right="121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ab/>
        <w:t>II - contem com infraestrutura acessível e adequada para atendimento integral;</w:t>
      </w:r>
    </w:p>
    <w:p>
      <w:pPr>
        <w:pStyle w:val="BodyText"/>
        <w:spacing w:lineRule="auto" w:line="360"/>
        <w:ind w:left="117" w:right="121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ab/>
        <w:t>III - sejam geridas por entidades públicas ou privadas sem fins lucrativos.</w:t>
      </w:r>
    </w:p>
    <w:p>
      <w:pPr>
        <w:pStyle w:val="BodyText"/>
        <w:spacing w:lineRule="auto" w:line="360"/>
        <w:ind w:left="117" w:right="121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Artigo 4°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fill="FFFFFF" w:val="clear"/>
        </w:rPr>
        <w:t>Os incentivos a serem concedidos incluem:</w:t>
      </w:r>
    </w:p>
    <w:p>
      <w:pPr>
        <w:pStyle w:val="BodyText"/>
        <w:spacing w:lineRule="auto" w:line="360"/>
        <w:ind w:left="117" w:right="121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ab/>
        <w:t>I- isenção de impostos municipais;</w:t>
      </w:r>
    </w:p>
    <w:p>
      <w:pPr>
        <w:pStyle w:val="BodyText"/>
        <w:spacing w:lineRule="auto" w:line="360"/>
        <w:ind w:left="117" w:right="121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ab/>
        <w:t>II - prioridade na obtenção de licenças e alvarás municipais;</w:t>
      </w:r>
    </w:p>
    <w:p>
      <w:pPr>
        <w:pStyle w:val="BodyText"/>
        <w:spacing w:lineRule="auto" w:line="360"/>
        <w:ind w:left="117" w:right="121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ab/>
        <w:t>III - acesso a linhas de crédito especiais junto a instituições financeiras conveniadas com o Município;</w:t>
      </w:r>
    </w:p>
    <w:p>
      <w:pPr>
        <w:pStyle w:val="BodyText"/>
        <w:spacing w:lineRule="auto" w:line="360"/>
        <w:ind w:left="117" w:right="121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ab/>
        <w:t>IV - apoio técnico e consultoria para a implementação dos núcleos;</w:t>
      </w:r>
    </w:p>
    <w:p>
      <w:pPr>
        <w:pStyle w:val="BodyText"/>
        <w:spacing w:lineRule="auto" w:line="360"/>
        <w:ind w:left="117" w:right="121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ab/>
        <w:t>V - possibilidade de parcerias com universidades e instituições de pesquisa para desenvolvimento de programas de capacitação e inclusão social.</w:t>
      </w:r>
    </w:p>
    <w:p>
      <w:pPr>
        <w:pStyle w:val="CabealhoeRodap"/>
        <w:spacing w:lineRule="auto" w:line="360"/>
        <w:jc w:val="both"/>
        <w:rPr>
          <w:sz w:val="24"/>
          <w:szCs w:val="24"/>
        </w:rPr>
      </w:pPr>
      <w:r>
        <w:rPr>
          <w:b/>
          <w:sz w:val="24"/>
          <w:szCs w:val="24"/>
          <w:shd w:fill="FFFFFF" w:val="clear"/>
        </w:rPr>
        <w:tab/>
        <w:t>Art. 5º</w:t>
      </w:r>
      <w:r>
        <w:rPr>
          <w:sz w:val="24"/>
          <w:szCs w:val="24"/>
          <w:shd w:fill="FFFFFF" w:val="clear"/>
        </w:rPr>
        <w:t xml:space="preserve"> As entidades interessadas em receber os incentivos previstos nesta Lei deverão apresentar projeto detalhado ao órgão municipal competente, contendo:</w:t>
      </w:r>
    </w:p>
    <w:p>
      <w:pPr>
        <w:pStyle w:val="CabealhoeRodap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ab/>
        <w:t>I - plano de implementação e operação do centro;</w:t>
      </w:r>
    </w:p>
    <w:p>
      <w:pPr>
        <w:pStyle w:val="CabealhoeRodap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ab/>
        <w:t>II - descrição dos serviços a serem oferecidos;</w:t>
      </w:r>
    </w:p>
    <w:p>
      <w:pPr>
        <w:pStyle w:val="CabealhoeRodap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ab/>
        <w:t>III - comprovação de capacidade técnica e financeira;</w:t>
      </w:r>
    </w:p>
    <w:p>
      <w:pPr>
        <w:pStyle w:val="CabealhoeRodap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ab/>
        <w:t>IV - cronograma de atividades;</w:t>
      </w:r>
    </w:p>
    <w:p>
      <w:pPr>
        <w:pStyle w:val="CabealhoeRodap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ab/>
        <w:t>V - planos de sustentabilidade e manutenção;</w:t>
      </w:r>
    </w:p>
    <w:p>
      <w:pPr>
        <w:pStyle w:val="CabealhoeRodap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ab/>
        <w:t>VI – outras previstas em regulamento.</w:t>
      </w:r>
    </w:p>
    <w:p>
      <w:pPr>
        <w:pStyle w:val="CabealhoeRodap"/>
        <w:spacing w:lineRule="auto" w:line="36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shd w:fill="FFFFFF" w:val="clear"/>
        </w:rPr>
        <w:tab/>
        <w:t>Art. 6º</w:t>
      </w:r>
      <w:r>
        <w:rPr>
          <w:color w:val="000000"/>
          <w:sz w:val="24"/>
          <w:szCs w:val="24"/>
          <w:shd w:fill="FFFFFF" w:val="clear"/>
        </w:rPr>
        <w:t xml:space="preserve"> O Poder Executivo poderá firmar conv</w:t>
      </w:r>
      <w:r>
        <w:rPr>
          <w:color w:val="000000"/>
          <w:sz w:val="24"/>
          <w:szCs w:val="24"/>
          <w:shd w:fill="FFFFFF" w:val="clear"/>
        </w:rPr>
        <w:t>ê</w:t>
      </w:r>
      <w:r>
        <w:rPr>
          <w:color w:val="000000"/>
          <w:sz w:val="24"/>
          <w:szCs w:val="24"/>
          <w:shd w:fill="FFFFFF" w:val="clear"/>
        </w:rPr>
        <w:t>nios com entidades públicas e privadas para a viabilização dos incentivos e para a fiscalização dos núcleos especializados.</w:t>
      </w:r>
    </w:p>
    <w:p>
      <w:pPr>
        <w:pStyle w:val="CabealhoeRodap"/>
        <w:spacing w:lineRule="auto" w:line="36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shd w:fill="FFFFFF" w:val="clear"/>
        </w:rPr>
        <w:tab/>
        <w:t>Art. 7º</w:t>
      </w:r>
      <w:r>
        <w:rPr>
          <w:color w:val="000000"/>
          <w:sz w:val="24"/>
          <w:szCs w:val="24"/>
          <w:shd w:fill="FFFFFF" w:val="clear"/>
        </w:rPr>
        <w:t xml:space="preserve"> O Poder Executivo regulamentará a presente Lei.</w:t>
      </w:r>
    </w:p>
    <w:p>
      <w:pPr>
        <w:pStyle w:val="CabealhoeRodap"/>
        <w:spacing w:lineRule="auto" w:line="36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shd w:fill="FFFFFF" w:val="clear"/>
        </w:rPr>
        <w:tab/>
        <w:t>Art. 8º</w:t>
      </w:r>
      <w:r>
        <w:rPr>
          <w:color w:val="000000"/>
          <w:sz w:val="24"/>
          <w:szCs w:val="24"/>
          <w:shd w:fill="FFFFFF" w:val="clear"/>
        </w:rPr>
        <w:t xml:space="preserve"> Esta Lei entra em vigor na data de sua publicação.</w:t>
      </w:r>
    </w:p>
    <w:p>
      <w:pPr>
        <w:pStyle w:val="Title"/>
        <w:spacing w:lineRule="auto" w:line="360"/>
        <w:ind w:left="0"/>
        <w:jc w:val="both"/>
        <w:rPr>
          <w:rFonts w:eastAsia="Microsoft JhengHei"/>
          <w:b w:val="false"/>
          <w:bCs w:val="false"/>
          <w:sz w:val="24"/>
          <w:szCs w:val="24"/>
        </w:rPr>
      </w:pPr>
      <w:r>
        <w:rPr>
          <w:rFonts w:eastAsia="Microsoft JhengHei"/>
          <w:b w:val="false"/>
          <w:bCs w:val="false"/>
          <w:sz w:val="24"/>
          <w:szCs w:val="24"/>
        </w:rPr>
      </w:r>
    </w:p>
    <w:p>
      <w:pPr>
        <w:pStyle w:val="Title"/>
        <w:spacing w:lineRule="auto" w:line="360"/>
        <w:ind w:left="0"/>
        <w:jc w:val="both"/>
        <w:rPr>
          <w:rFonts w:eastAsia="Microsoft JhengHei"/>
          <w:b w:val="false"/>
          <w:bCs w:val="false"/>
          <w:sz w:val="24"/>
          <w:szCs w:val="24"/>
        </w:rPr>
      </w:pPr>
      <w:r>
        <w:rPr>
          <w:rFonts w:eastAsia="Microsoft JhengHei"/>
          <w:b w:val="false"/>
          <w:bCs w:val="false"/>
          <w:sz w:val="24"/>
          <w:szCs w:val="24"/>
        </w:rPr>
      </w:r>
    </w:p>
    <w:p>
      <w:pPr>
        <w:pStyle w:val="Title"/>
        <w:spacing w:lineRule="auto" w:line="360"/>
        <w:ind w:left="0"/>
        <w:jc w:val="center"/>
        <w:rPr>
          <w:sz w:val="24"/>
          <w:szCs w:val="24"/>
        </w:rPr>
      </w:pPr>
      <w:r>
        <w:rPr>
          <w:rFonts w:eastAsia="Microsoft JhengHei"/>
          <w:b w:val="false"/>
          <w:bCs w:val="false"/>
          <w:sz w:val="24"/>
          <w:szCs w:val="24"/>
        </w:rPr>
        <w:t>Palácio Graccho Cardoso, Aracaju, 18 de junho de 2024.</w:t>
      </w:r>
    </w:p>
    <w:p>
      <w:pPr>
        <w:pStyle w:val="Title"/>
        <w:spacing w:lineRule="auto" w:line="360"/>
        <w:ind w:lef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drawing>
          <wp:anchor behindDoc="1" distT="0" distB="0" distL="0" distR="0" simplePos="0" locked="0" layoutInCell="0" allowOverlap="1" relativeHeight="21">
            <wp:simplePos x="0" y="0"/>
            <wp:positionH relativeFrom="page">
              <wp:posOffset>616585</wp:posOffset>
            </wp:positionH>
            <wp:positionV relativeFrom="paragraph">
              <wp:posOffset>111125</wp:posOffset>
            </wp:positionV>
            <wp:extent cx="1162050" cy="800100"/>
            <wp:effectExtent l="0" t="0" r="0" b="0"/>
            <wp:wrapNone/>
            <wp:docPr id="1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Rule="auto" w:line="360" w:before="1" w:after="0"/>
        <w:ind w:right="370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360" w:before="1" w:after="0"/>
        <w:ind w:right="370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360" w:before="1" w:after="0"/>
        <w:ind w:right="370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360" w:before="1" w:after="0"/>
        <w:ind w:right="370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360" w:before="1" w:after="0"/>
        <w:ind w:right="370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360" w:before="1" w:after="0"/>
        <w:ind w:right="370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360" w:before="1" w:after="0"/>
        <w:ind w:right="370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360" w:before="1" w:after="0"/>
        <w:ind w:right="370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360" w:before="1" w:after="0"/>
        <w:ind w:right="370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360" w:before="1" w:after="0"/>
        <w:ind w:right="3707"/>
        <w:jc w:val="both"/>
        <w:rPr>
          <w:b/>
          <w:bCs/>
        </w:rPr>
      </w:pPr>
      <w:r>
        <w:rPr/>
      </w:r>
    </w:p>
    <w:p>
      <w:pPr>
        <w:pStyle w:val="BodyText"/>
        <w:spacing w:lineRule="auto" w:line="360" w:before="1" w:after="0"/>
        <w:ind w:right="3707"/>
        <w:jc w:val="both"/>
        <w:rPr>
          <w:b/>
          <w:bCs/>
        </w:rPr>
      </w:pPr>
      <w:r>
        <w:rPr/>
      </w:r>
    </w:p>
    <w:p>
      <w:pPr>
        <w:pStyle w:val="BodyText"/>
        <w:spacing w:lineRule="auto" w:line="360" w:before="1" w:after="0"/>
        <w:ind w:right="3707"/>
        <w:jc w:val="both"/>
        <w:rPr>
          <w:b/>
          <w:bCs/>
        </w:rPr>
      </w:pPr>
      <w:r>
        <w:rPr/>
      </w:r>
    </w:p>
    <w:p>
      <w:pPr>
        <w:pStyle w:val="BodyText"/>
        <w:spacing w:lineRule="auto" w:line="360" w:before="1" w:after="0"/>
        <w:ind w:right="3707"/>
        <w:jc w:val="both"/>
        <w:rPr>
          <w:b/>
          <w:bCs/>
        </w:rPr>
      </w:pPr>
      <w:r>
        <w:rPr/>
      </w:r>
    </w:p>
    <w:p>
      <w:pPr>
        <w:pStyle w:val="BodyText"/>
        <w:spacing w:lineRule="auto" w:line="360" w:before="1" w:after="0"/>
        <w:ind w:right="3707"/>
        <w:jc w:val="both"/>
        <w:rPr>
          <w:b/>
          <w:bCs/>
        </w:rPr>
      </w:pPr>
      <w:r>
        <w:rPr/>
      </w:r>
    </w:p>
    <w:p>
      <w:pPr>
        <w:pStyle w:val="BodyText"/>
        <w:spacing w:lineRule="auto" w:line="360" w:before="1" w:after="0"/>
        <w:ind w:right="3707"/>
        <w:jc w:val="both"/>
        <w:rPr>
          <w:b/>
          <w:bCs/>
        </w:rPr>
      </w:pPr>
      <w:r>
        <w:rPr/>
      </w:r>
    </w:p>
    <w:p>
      <w:pPr>
        <w:pStyle w:val="BodyText"/>
        <w:spacing w:lineRule="auto" w:line="360" w:before="1" w:after="0"/>
        <w:ind w:right="3707"/>
        <w:jc w:val="both"/>
        <w:rPr>
          <w:b/>
          <w:bCs/>
        </w:rPr>
      </w:pPr>
      <w:r>
        <w:rPr/>
      </w:r>
    </w:p>
    <w:p>
      <w:pPr>
        <w:pStyle w:val="BodyText"/>
        <w:spacing w:lineRule="auto" w:line="360" w:before="1" w:after="0"/>
        <w:ind w:right="3707"/>
        <w:jc w:val="both"/>
        <w:rPr>
          <w:b/>
          <w:bCs/>
        </w:rPr>
      </w:pPr>
      <w:r>
        <w:rPr/>
      </w:r>
    </w:p>
    <w:p>
      <w:pPr>
        <w:pStyle w:val="BodyText"/>
        <w:spacing w:lineRule="auto" w:line="360" w:before="1" w:after="0"/>
        <w:ind w:right="3707"/>
        <w:jc w:val="both"/>
        <w:rPr>
          <w:b/>
          <w:bCs/>
        </w:rPr>
      </w:pPr>
      <w:r>
        <w:rPr/>
      </w:r>
    </w:p>
    <w:p>
      <w:pPr>
        <w:pStyle w:val="BodyText"/>
        <w:spacing w:lineRule="auto" w:line="360" w:before="1" w:after="0"/>
        <w:ind w:right="3707"/>
        <w:jc w:val="both"/>
        <w:rPr>
          <w:b/>
          <w:bCs/>
        </w:rPr>
      </w:pPr>
      <w:r>
        <w:rPr/>
      </w:r>
    </w:p>
    <w:p>
      <w:pPr>
        <w:pStyle w:val="BodyText"/>
        <w:spacing w:lineRule="auto" w:line="360" w:before="1" w:after="0"/>
        <w:ind w:right="3707"/>
        <w:jc w:val="both"/>
        <w:rPr>
          <w:b/>
          <w:bCs/>
        </w:rPr>
      </w:pPr>
      <w:r>
        <w:rPr/>
      </w:r>
    </w:p>
    <w:p>
      <w:pPr>
        <w:pStyle w:val="BodyText"/>
        <w:spacing w:lineRule="auto" w:line="360" w:before="1" w:after="0"/>
        <w:ind w:right="3707"/>
        <w:jc w:val="both"/>
        <w:rPr>
          <w:b/>
          <w:bCs/>
        </w:rPr>
      </w:pPr>
      <w:r>
        <w:rPr/>
      </w:r>
    </w:p>
    <w:p>
      <w:pPr>
        <w:pStyle w:val="BodyText"/>
        <w:spacing w:lineRule="auto" w:line="360" w:before="1" w:after="0"/>
        <w:ind w:right="3707"/>
        <w:jc w:val="both"/>
        <w:rPr>
          <w:b/>
          <w:bCs/>
        </w:rPr>
      </w:pPr>
      <w:r>
        <w:rPr/>
      </w:r>
    </w:p>
    <w:p>
      <w:pPr>
        <w:pStyle w:val="BodyText"/>
        <w:spacing w:lineRule="auto" w:line="360" w:before="1" w:after="0"/>
        <w:ind w:right="3707"/>
        <w:jc w:val="both"/>
        <w:rPr/>
      </w:pPr>
      <w:r>
        <w:rPr>
          <w:b/>
          <w:bCs/>
        </w:rPr>
        <w:t xml:space="preserve">                                                                 </w:t>
      </w:r>
      <w:r>
        <w:rPr>
          <w:b/>
          <w:bCs/>
        </w:rPr>
        <w:t>JUSTIFICATIVA</w:t>
      </w:r>
    </w:p>
    <w:p>
      <w:pPr>
        <w:pStyle w:val="Title"/>
        <w:spacing w:lineRule="auto" w:line="360"/>
        <w:ind w:firstLine="603" w:left="117"/>
        <w:jc w:val="both"/>
        <w:rPr/>
      </w:pPr>
      <w:r>
        <w:rPr>
          <w:rFonts w:eastAsia="Microsoft JhengHei"/>
          <w:b w:val="false"/>
          <w:bCs w:val="false"/>
          <w:sz w:val="28"/>
          <w:szCs w:val="28"/>
        </w:rPr>
        <w:t>A proposta de criação de núcleos especializados de atendimento multidisciplinar a mulheres com deficiência no Município de Aracaju é fundamentada na necessidade premente de promover a inclusão e melhorar a qualidade de vida dessas mulheres. No geral, pessoas com deficiência enfrentam significativas barreiras ao acesso a serviços essenciais como saúde, educação e emprego, devido à falta de infraestrutura adequada e de serviços especializados. Esta iniciativa visa mitigar essas dificuldades ao fornecer suporte financeiro, técnico e administrativo para implementação e manutenção desses núcleos.</w:t>
      </w:r>
    </w:p>
    <w:p>
      <w:pPr>
        <w:pStyle w:val="Title"/>
        <w:spacing w:lineRule="auto" w:line="360"/>
        <w:ind w:firstLine="720" w:left="0"/>
        <w:jc w:val="both"/>
        <w:rPr/>
      </w:pPr>
      <w:r>
        <w:rPr>
          <w:rFonts w:eastAsia="Microsoft JhengHei"/>
          <w:b w:val="false"/>
          <w:bCs w:val="false"/>
          <w:sz w:val="28"/>
          <w:szCs w:val="28"/>
        </w:rPr>
        <w:t>A criação desses centros especializados é crucial para assegurar que mulheres com deficiência recebam atendimento adaptado às suas necessidades específicas de forma integrada e contínua. Os incentivos propostos, como isenções fiscais, prioridade na obtenção de licenças, acesso a linhas de crédito especiais e apoio técnico, são estratégias que não apenas viabilizam a existência desses núcleos, mas também incentivam entidades públicas e privadas a investirem nessa causa nobre.</w:t>
      </w:r>
    </w:p>
    <w:p>
      <w:pPr>
        <w:pStyle w:val="BodyText"/>
        <w:spacing w:lineRule="auto" w:line="360"/>
        <w:ind w:firstLine="720"/>
        <w:jc w:val="both"/>
        <w:rPr/>
      </w:pPr>
      <w:r>
        <w:rPr>
          <w:rFonts w:eastAsia="Microsoft JhengHei"/>
          <w:sz w:val="28"/>
          <w:szCs w:val="28"/>
        </w:rPr>
        <w:t>Portanto, a aprovação deste projeto de lei não só representa um avanço na promoção da equidade e justiça social, mas também demonstra um compromisso claro com a implementação de políticas públicas que visam a inclusão e o bem-estar de todos os cidadãos, especialmente aqueles que enfrentam múltiplas formas de discriminação e desvantagens.</w:t>
      </w:r>
    </w:p>
    <w:p>
      <w:pPr>
        <w:pStyle w:val="Title"/>
        <w:ind w:left="0"/>
        <w:jc w:val="both"/>
        <w:rPr>
          <w:rFonts w:eastAsia="Microsoft JhengHei"/>
          <w:b w:val="false"/>
          <w:bCs w:val="false"/>
          <w:sz w:val="28"/>
          <w:szCs w:val="28"/>
        </w:rPr>
      </w:pPr>
      <w:r>
        <w:rPr>
          <w:rFonts w:eastAsia="Microsoft JhengHei"/>
          <w:b w:val="false"/>
          <w:bCs w:val="false"/>
          <w:sz w:val="28"/>
          <w:szCs w:val="28"/>
        </w:rPr>
      </w:r>
    </w:p>
    <w:p>
      <w:pPr>
        <w:pStyle w:val="BodyText"/>
        <w:rPr>
          <w:rFonts w:eastAsia="Microsoft JhengHei"/>
        </w:rPr>
      </w:pPr>
      <w:r>
        <w:rPr>
          <w:rFonts w:eastAsia="Microsoft JhengHei"/>
        </w:rPr>
      </w:r>
      <w:bookmarkStart w:id="0" w:name="_GoBack"/>
      <w:bookmarkStart w:id="1" w:name="_GoBack"/>
      <w:bookmarkEnd w:id="1"/>
    </w:p>
    <w:p>
      <w:pPr>
        <w:pStyle w:val="Title"/>
        <w:ind w:left="0"/>
        <w:jc w:val="center"/>
        <w:rPr/>
      </w:pPr>
      <w:r>
        <w:rPr>
          <w:rFonts w:eastAsia="Microsoft JhengHei"/>
          <w:b w:val="false"/>
          <w:bCs w:val="false"/>
          <w:sz w:val="28"/>
          <w:szCs w:val="28"/>
        </w:rPr>
        <w:t>Palácio Graccho Cardoso, Aracaju, 18 de junho de 2024.</w:t>
      </w:r>
    </w:p>
    <w:p>
      <w:pPr>
        <w:pStyle w:val="BodyText"/>
        <w:spacing w:lineRule="auto" w:line="360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ind w:left="117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jc w:val="both"/>
        <w:rPr>
          <w:sz w:val="20"/>
        </w:rPr>
      </w:pPr>
      <w:r>
        <w:rPr>
          <w:sz w:val="20"/>
        </w:rPr>
        <w:drawing>
          <wp:anchor behindDoc="0" distT="0" distB="0" distL="0" distR="0" simplePos="0" locked="0" layoutInCell="0" allowOverlap="1" relativeHeight="24">
            <wp:simplePos x="0" y="0"/>
            <wp:positionH relativeFrom="page">
              <wp:posOffset>739775</wp:posOffset>
            </wp:positionH>
            <wp:positionV relativeFrom="paragraph">
              <wp:posOffset>12065</wp:posOffset>
            </wp:positionV>
            <wp:extent cx="1162050" cy="800100"/>
            <wp:effectExtent l="0" t="0" r="0" b="0"/>
            <wp:wrapNone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jc w:val="both"/>
        <w:rPr>
          <w:sz w:val="12"/>
        </w:rPr>
      </w:pPr>
      <w:r>
        <w:rPr>
          <w:sz w:val="12"/>
        </w:rPr>
      </w:r>
    </w:p>
    <w:p>
      <w:pPr>
        <w:pStyle w:val="BodyText"/>
        <w:spacing w:before="4" w:after="0"/>
        <w:jc w:val="both"/>
        <w:rPr>
          <w:sz w:val="12"/>
        </w:rPr>
      </w:pPr>
      <w:r>
        <w:rPr>
          <w:sz w:val="12"/>
        </w:rPr>
      </w:r>
    </w:p>
    <w:p>
      <w:pPr>
        <w:pStyle w:val="BodyText"/>
        <w:spacing w:before="4" w:after="0"/>
        <w:jc w:val="both"/>
        <w:rPr>
          <w:sz w:val="12"/>
        </w:rPr>
      </w:pPr>
      <w:r>
        <w:rPr>
          <w:sz w:val="12"/>
        </w:rPr>
      </w:r>
    </w:p>
    <w:p>
      <w:pPr>
        <w:pStyle w:val="BodyText"/>
        <w:spacing w:before="4" w:after="0"/>
        <w:jc w:val="both"/>
        <w:rPr>
          <w:sz w:val="12"/>
        </w:rPr>
      </w:pPr>
      <w:r>
        <w:rPr>
          <w:sz w:val="12"/>
        </w:rPr>
      </w:r>
    </w:p>
    <w:p>
      <w:pPr>
        <w:pStyle w:val="BodyText"/>
        <w:spacing w:before="4" w:after="0"/>
        <w:jc w:val="both"/>
        <w:rPr>
          <w:sz w:val="12"/>
        </w:rPr>
      </w:pPr>
      <w:r>
        <w:rPr>
          <w:sz w:val="20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60" w:right="1060" w:gutter="0" w:header="708" w:top="2280" w:footer="945" w:bottom="11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-webkit-standar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2540" distR="0" simplePos="0" locked="0" layoutInCell="0" allowOverlap="1" relativeHeight="15" wp14:anchorId="5F101E0D">
              <wp:simplePos x="0" y="0"/>
              <wp:positionH relativeFrom="page">
                <wp:posOffset>1726565</wp:posOffset>
              </wp:positionH>
              <wp:positionV relativeFrom="page">
                <wp:posOffset>9954260</wp:posOffset>
              </wp:positionV>
              <wp:extent cx="4170045" cy="166370"/>
              <wp:effectExtent l="635" t="0" r="0" b="0"/>
              <wp:wrapNone/>
              <wp:docPr id="7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98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Pça: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Olímpio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Campos,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74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entro.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 CEP.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49010-010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Fone: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(079)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2107-4800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35.95pt;margin-top:783.8pt;width:328.3pt;height:13.05pt;mso-wrap-style:square;v-text-anchor:top;mso-position-horizontal-relative:page;mso-position-vertical-relative:page" wp14:anchorId="5F101E0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Pça: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Olímpio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Campos,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74</w:t>
                    </w:r>
                    <w:r>
                      <w:rPr>
                        <w:b/>
                        <w:color w:val="00000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–</w:t>
                    </w:r>
                    <w:r>
                      <w:rPr>
                        <w:b/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C</w:t>
                    </w:r>
                    <w:r>
                      <w:rPr>
                        <w:b/>
                        <w:color w:val="000000"/>
                        <w:sz w:val="20"/>
                      </w:rPr>
                      <w:t>entro.</w:t>
                    </w:r>
                    <w:r>
                      <w:rPr>
                        <w:b/>
                        <w:color w:val="000000"/>
                        <w:sz w:val="20"/>
                      </w:rPr>
                      <w:t xml:space="preserve"> CEP.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49010-010</w:t>
                    </w:r>
                    <w:r>
                      <w:rPr>
                        <w:b/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Fone: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(079)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2107-4800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2540" distR="0" simplePos="0" locked="0" layoutInCell="0" allowOverlap="1" relativeHeight="15" wp14:anchorId="5F101E0D">
              <wp:simplePos x="0" y="0"/>
              <wp:positionH relativeFrom="page">
                <wp:posOffset>1726565</wp:posOffset>
              </wp:positionH>
              <wp:positionV relativeFrom="page">
                <wp:posOffset>9954260</wp:posOffset>
              </wp:positionV>
              <wp:extent cx="4170045" cy="166370"/>
              <wp:effectExtent l="635" t="0" r="0" b="0"/>
              <wp:wrapNone/>
              <wp:docPr id="8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98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Pça: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Olímpio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Campos,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74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entro.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 CEP.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49010-010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Fone: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(079)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2107-4800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35.95pt;margin-top:783.8pt;width:328.3pt;height:13.05pt;mso-wrap-style:square;v-text-anchor:top;mso-position-horizontal-relative:page;mso-position-vertical-relative:page" wp14:anchorId="5F101E0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Pça: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Olímpio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Campos,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74</w:t>
                    </w:r>
                    <w:r>
                      <w:rPr>
                        <w:b/>
                        <w:color w:val="00000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–</w:t>
                    </w:r>
                    <w:r>
                      <w:rPr>
                        <w:b/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C</w:t>
                    </w:r>
                    <w:r>
                      <w:rPr>
                        <w:b/>
                        <w:color w:val="000000"/>
                        <w:sz w:val="20"/>
                      </w:rPr>
                      <w:t>entro.</w:t>
                    </w:r>
                    <w:r>
                      <w:rPr>
                        <w:b/>
                        <w:color w:val="000000"/>
                        <w:sz w:val="20"/>
                      </w:rPr>
                      <w:t xml:space="preserve"> CEP.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49010-010</w:t>
                    </w:r>
                    <w:r>
                      <w:rPr>
                        <w:b/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Fone: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(079)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2107-4800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3489960</wp:posOffset>
          </wp:positionH>
          <wp:positionV relativeFrom="page">
            <wp:posOffset>449580</wp:posOffset>
          </wp:positionV>
          <wp:extent cx="638810" cy="623570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3175" distL="2540" distR="635" simplePos="0" locked="0" layoutInCell="0" allowOverlap="1" relativeHeight="9" wp14:anchorId="101ED624">
              <wp:simplePos x="0" y="0"/>
              <wp:positionH relativeFrom="page">
                <wp:posOffset>2831465</wp:posOffset>
              </wp:positionH>
              <wp:positionV relativeFrom="page">
                <wp:posOffset>1179830</wp:posOffset>
              </wp:positionV>
              <wp:extent cx="2016760" cy="283845"/>
              <wp:effectExtent l="0" t="635" r="0" b="0"/>
              <wp:wrapNone/>
              <wp:docPr id="4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6720" cy="283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firstLine="633" w:left="20" w:right="1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ESTADO DE SERGIPE</w:t>
                          </w:r>
                          <w:r>
                            <w:rPr>
                              <w:b/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CÂMARA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ARACAJU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222.95pt;margin-top:92.9pt;width:158.75pt;height:22.3pt;mso-wrap-style:square;v-text-anchor:top;mso-position-horizontal-relative:page;mso-position-vertical-relative:page" wp14:anchorId="101ED62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firstLine="633" w:left="20" w:right="1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ESTADO DE SERGIPE</w:t>
                    </w:r>
                    <w:r>
                      <w:rPr>
                        <w:b/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CÂMARA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MUNICIPAL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ARACAJU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3489960</wp:posOffset>
          </wp:positionH>
          <wp:positionV relativeFrom="page">
            <wp:posOffset>449580</wp:posOffset>
          </wp:positionV>
          <wp:extent cx="638810" cy="623570"/>
          <wp:effectExtent l="0" t="0" r="0" b="0"/>
          <wp:wrapNone/>
          <wp:docPr id="5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3175" distL="2540" distR="635" simplePos="0" locked="0" layoutInCell="0" allowOverlap="1" relativeHeight="9" wp14:anchorId="101ED624">
              <wp:simplePos x="0" y="0"/>
              <wp:positionH relativeFrom="page">
                <wp:posOffset>2831465</wp:posOffset>
              </wp:positionH>
              <wp:positionV relativeFrom="page">
                <wp:posOffset>1179830</wp:posOffset>
              </wp:positionV>
              <wp:extent cx="2016760" cy="283845"/>
              <wp:effectExtent l="0" t="635" r="0" b="0"/>
              <wp:wrapNone/>
              <wp:docPr id="6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6720" cy="283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firstLine="633" w:left="20" w:right="1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ESTADO DE SERGIPE</w:t>
                          </w:r>
                          <w:r>
                            <w:rPr>
                              <w:b/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CÂMARA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ARACAJU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222.95pt;margin-top:92.9pt;width:158.75pt;height:22.3pt;mso-wrap-style:square;v-text-anchor:top;mso-position-horizontal-relative:page;mso-position-vertical-relative:page" wp14:anchorId="101ED62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firstLine="633" w:left="20" w:right="1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ESTADO DE SERGIPE</w:t>
                    </w:r>
                    <w:r>
                      <w:rPr>
                        <w:b/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CÂMARA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MUNICIPAL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ARACAJU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har" w:customStyle="1">
    <w:name w:val="Título Char"/>
    <w:basedOn w:val="DefaultParagraphFont"/>
    <w:uiPriority w:val="1"/>
    <w:qFormat/>
    <w:rsid w:val="00d34fc6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bc6dae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Bumpedfont15" w:customStyle="1">
    <w:name w:val="bumpedfont15"/>
    <w:basedOn w:val="DefaultParagraphFont"/>
    <w:qFormat/>
    <w:rsid w:val="00bc6dae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TtuloChar"/>
    <w:uiPriority w:val="1"/>
    <w:qFormat/>
    <w:pPr>
      <w:ind w:left="117"/>
      <w:jc w:val="both"/>
    </w:pPr>
    <w:rPr>
      <w:b/>
      <w:b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S13" w:customStyle="1">
    <w:name w:val="s13"/>
    <w:basedOn w:val="Normal"/>
    <w:qFormat/>
    <w:rsid w:val="00bc6dae"/>
    <w:pPr>
      <w:widowControl/>
      <w:suppressAutoHyphens w:val="false"/>
      <w:spacing w:beforeAutospacing="1" w:afterAutospacing="1"/>
    </w:pPr>
    <w:rPr>
      <w:rFonts w:eastAsia="" w:eastAsiaTheme="minorEastAsia"/>
      <w:sz w:val="24"/>
      <w:szCs w:val="24"/>
      <w:lang w:val="pt-BR" w:eastAsia="pt-BR"/>
    </w:rPr>
  </w:style>
  <w:style w:type="paragraph" w:styleId="S16" w:customStyle="1">
    <w:name w:val="s16"/>
    <w:basedOn w:val="Normal"/>
    <w:qFormat/>
    <w:rsid w:val="00bc6dae"/>
    <w:pPr>
      <w:widowControl/>
      <w:suppressAutoHyphens w:val="false"/>
      <w:spacing w:beforeAutospacing="1" w:afterAutospacing="1"/>
    </w:pPr>
    <w:rPr>
      <w:rFonts w:eastAsia="" w:eastAsiaTheme="minorEastAsia"/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F9A5-CE02-418F-BB77-BDA388E3B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LibreOffice/24.2.2.2$Windows_X86_64 LibreOffice_project/d56cc158d8a96260b836f100ef4b4ef25d6f1a01</Application>
  <AppVersion>15.0000</AppVersion>
  <DocSecurity>0</DocSecurity>
  <Pages>3</Pages>
  <Words>608</Words>
  <Characters>3541</Characters>
  <CharactersWithSpaces>4257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2024-06-18T14:39:00Z</dcterms:created>
  <dc:creator>Gabinete203</dc:creator>
  <dc:description/>
  <dc:language>pt-BR</dc:language>
  <cp:lastModifiedBy/>
  <cp:lastPrinted>2024-06-19T09:54:34Z</cp:lastPrinted>
  <dcterms:modified xsi:type="dcterms:W3CDTF">2024-06-19T09:54:29Z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2019</vt:lpwstr>
  </property>
  <property fmtid="{D5CDD505-2E9C-101B-9397-08002B2CF9AE}" pid="4" name="HyperlinksChanged">
    <vt:bool>0</vt:bool>
  </property>
  <property fmtid="{D5CDD505-2E9C-101B-9397-08002B2CF9AE}" pid="5" name="LastSaved">
    <vt:filetime>2021-11-09T00:00:00Z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