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57" w:rsidRPr="00D431CA" w:rsidRDefault="00772B57" w:rsidP="00772B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     /2024</w:t>
      </w:r>
    </w:p>
    <w:p w:rsidR="00772B57" w:rsidRDefault="00772B57" w:rsidP="00772B57">
      <w:pPr>
        <w:ind w:left="2832"/>
        <w:jc w:val="both"/>
        <w:rPr>
          <w:rFonts w:ascii="Arial" w:hAnsi="Arial" w:cs="Arial"/>
          <w:sz w:val="24"/>
          <w:szCs w:val="24"/>
        </w:rPr>
      </w:pPr>
    </w:p>
    <w:p w:rsidR="00772B57" w:rsidRDefault="00772B57" w:rsidP="00772B57">
      <w:pPr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Ratifica e Homologa o Ato nº 03, de </w:t>
      </w:r>
      <w:proofErr w:type="gramStart"/>
      <w:r>
        <w:rPr>
          <w:rFonts w:ascii="Arial" w:hAnsi="Arial" w:cs="Arial"/>
          <w:sz w:val="24"/>
          <w:szCs w:val="24"/>
        </w:rPr>
        <w:t>8</w:t>
      </w:r>
      <w:proofErr w:type="gramEnd"/>
      <w:r>
        <w:rPr>
          <w:rFonts w:ascii="Arial" w:hAnsi="Arial" w:cs="Arial"/>
          <w:sz w:val="24"/>
          <w:szCs w:val="24"/>
        </w:rPr>
        <w:t xml:space="preserve"> de janeiro de 2024 que r</w:t>
      </w:r>
      <w:r w:rsidRPr="00772B57">
        <w:rPr>
          <w:rFonts w:ascii="Arial" w:hAnsi="Arial" w:cs="Arial"/>
          <w:sz w:val="24"/>
          <w:szCs w:val="24"/>
        </w:rPr>
        <w:t>egulamenta o disposto no art. 20 da Lei nº 14.133, de 1º de abril de 2021, para estabelecer o enquadramento dos bens de consumo adquiridos para suprir as demandas das estruturas da Câmara Municipal de Aracaju nas categorias de qualidade comum e de luxo.</w:t>
      </w:r>
    </w:p>
    <w:p w:rsidR="00772B57" w:rsidRDefault="00772B57" w:rsidP="00772B57">
      <w:pPr>
        <w:jc w:val="both"/>
        <w:rPr>
          <w:rFonts w:ascii="Arial" w:hAnsi="Arial" w:cs="Arial"/>
          <w:b/>
          <w:sz w:val="24"/>
          <w:szCs w:val="24"/>
        </w:rPr>
      </w:pPr>
    </w:p>
    <w:p w:rsidR="00772B57" w:rsidRPr="00D431CA" w:rsidRDefault="00772B57" w:rsidP="00772B5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MESA DIRETORA DA CÂMARA MUNICIPAL DE ARACAJU.</w:t>
      </w:r>
    </w:p>
    <w:p w:rsidR="00772B57" w:rsidRDefault="00772B57" w:rsidP="00772B57">
      <w:pPr>
        <w:jc w:val="both"/>
        <w:rPr>
          <w:rFonts w:ascii="Arial" w:hAnsi="Arial" w:cs="Arial"/>
          <w:b/>
          <w:sz w:val="24"/>
          <w:szCs w:val="24"/>
        </w:rPr>
      </w:pPr>
    </w:p>
    <w:p w:rsidR="00772B57" w:rsidRDefault="00772B57" w:rsidP="00772B57">
      <w:pPr>
        <w:jc w:val="both"/>
      </w:pPr>
      <w:r w:rsidRPr="00D431CA">
        <w:rPr>
          <w:rFonts w:ascii="Arial" w:hAnsi="Arial" w:cs="Arial"/>
          <w:b/>
          <w:sz w:val="24"/>
          <w:szCs w:val="24"/>
        </w:rPr>
        <w:t xml:space="preserve">Faço saber que a Câmara Municipal de Aracaju aprovou, e </w:t>
      </w:r>
      <w:r>
        <w:rPr>
          <w:rFonts w:ascii="Arial" w:hAnsi="Arial" w:cs="Arial"/>
          <w:b/>
          <w:sz w:val="24"/>
          <w:szCs w:val="24"/>
        </w:rPr>
        <w:t>a Mesa Diretora promulga a seguinte Resolução</w:t>
      </w:r>
      <w:r w:rsidRPr="00D431CA">
        <w:rPr>
          <w:rFonts w:ascii="Arial" w:hAnsi="Arial" w:cs="Arial"/>
          <w:b/>
          <w:sz w:val="24"/>
          <w:szCs w:val="24"/>
        </w:rPr>
        <w:t>:</w:t>
      </w:r>
    </w:p>
    <w:p w:rsidR="00772B57" w:rsidRDefault="00772B57" w:rsidP="00772B57"/>
    <w:p w:rsidR="00772B57" w:rsidRDefault="00772B57" w:rsidP="00772B57">
      <w:pPr>
        <w:jc w:val="both"/>
        <w:rPr>
          <w:rFonts w:ascii="Arial" w:hAnsi="Arial" w:cs="Arial"/>
          <w:b/>
          <w:sz w:val="24"/>
          <w:szCs w:val="24"/>
        </w:rPr>
      </w:pPr>
    </w:p>
    <w:p w:rsidR="00772B57" w:rsidRDefault="00772B57" w:rsidP="00772B57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 w:rsidRPr="00F60B13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1</w:t>
      </w:r>
      <w:r w:rsidRPr="00F60B13">
        <w:rPr>
          <w:rFonts w:ascii="Arial" w:hAnsi="Arial" w:cs="Arial"/>
          <w:b/>
          <w:sz w:val="24"/>
          <w:szCs w:val="24"/>
        </w:rPr>
        <w:t>º</w:t>
      </w:r>
      <w:r w:rsidRPr="00F60B1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Fica Ratificado o Ato nº 1, de </w:t>
      </w:r>
      <w:proofErr w:type="gramStart"/>
      <w:r>
        <w:rPr>
          <w:rFonts w:ascii="Arial" w:hAnsi="Arial" w:cs="Arial"/>
          <w:sz w:val="24"/>
          <w:szCs w:val="24"/>
        </w:rPr>
        <w:t>8</w:t>
      </w:r>
      <w:proofErr w:type="gramEnd"/>
      <w:r>
        <w:rPr>
          <w:rFonts w:ascii="Arial" w:hAnsi="Arial" w:cs="Arial"/>
          <w:sz w:val="24"/>
          <w:szCs w:val="24"/>
        </w:rPr>
        <w:t xml:space="preserve"> de janeiro de 2024 (Anexo Único), que r</w:t>
      </w:r>
      <w:r w:rsidRPr="00772B57">
        <w:rPr>
          <w:rFonts w:ascii="Arial" w:hAnsi="Arial" w:cs="Arial"/>
          <w:sz w:val="24"/>
          <w:szCs w:val="24"/>
        </w:rPr>
        <w:t>egulamenta o disposto no art. 20 da Lei nº 14.133, de 1º de abril de 2021, para estabelecer o enquadramento dos bens de consumo adquiridos para suprir as demandas das estruturas da Câmara Municipal de Aracaju nas categorias de qualidade comum e de luxo.</w:t>
      </w:r>
    </w:p>
    <w:p w:rsidR="00772B57" w:rsidRDefault="00772B57" w:rsidP="00772B57">
      <w:pPr>
        <w:jc w:val="both"/>
        <w:rPr>
          <w:rFonts w:ascii="Arial" w:hAnsi="Arial" w:cs="Arial"/>
          <w:b/>
          <w:sz w:val="24"/>
          <w:szCs w:val="24"/>
        </w:rPr>
      </w:pPr>
    </w:p>
    <w:p w:rsidR="00772B57" w:rsidRDefault="00772B57" w:rsidP="00772B57">
      <w:pPr>
        <w:jc w:val="both"/>
        <w:rPr>
          <w:rFonts w:ascii="Arial" w:hAnsi="Arial" w:cs="Arial"/>
          <w:sz w:val="24"/>
          <w:szCs w:val="24"/>
        </w:rPr>
      </w:pPr>
      <w:r w:rsidRPr="00C86A45">
        <w:rPr>
          <w:rFonts w:ascii="Arial" w:hAnsi="Arial" w:cs="Arial"/>
          <w:b/>
          <w:sz w:val="24"/>
          <w:szCs w:val="24"/>
        </w:rPr>
        <w:t>Art.</w:t>
      </w:r>
      <w:r w:rsidRPr="00C86A4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86A45">
        <w:rPr>
          <w:rFonts w:ascii="Arial" w:hAnsi="Arial" w:cs="Arial"/>
          <w:b/>
          <w:sz w:val="24"/>
          <w:szCs w:val="24"/>
        </w:rPr>
        <w:t>2º</w:t>
      </w:r>
      <w:r w:rsidRPr="00C86A45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 Resolução entra em vigor na data de sua publicação.</w:t>
      </w:r>
    </w:p>
    <w:p w:rsidR="00772B57" w:rsidRDefault="00772B57" w:rsidP="00772B57">
      <w:pPr>
        <w:pStyle w:val="Corpodetexto"/>
        <w:spacing w:before="1" w:line="360" w:lineRule="auto"/>
        <w:ind w:left="46" w:right="140"/>
        <w:jc w:val="both"/>
        <w:rPr>
          <w:rFonts w:ascii="Arial" w:hAnsi="Arial" w:cs="Arial"/>
          <w:b/>
        </w:rPr>
      </w:pPr>
    </w:p>
    <w:p w:rsidR="00772B57" w:rsidRPr="001C761E" w:rsidRDefault="00772B57" w:rsidP="00772B5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“Graccho Cardoso” em Aracaju, 06 de fevereiro de 2024.</w:t>
      </w:r>
    </w:p>
    <w:p w:rsidR="00772B57" w:rsidRDefault="00772B57" w:rsidP="00772B57">
      <w:pPr>
        <w:jc w:val="center"/>
        <w:rPr>
          <w:rFonts w:ascii="Arial" w:hAnsi="Arial" w:cs="Arial"/>
          <w:b/>
          <w:sz w:val="24"/>
          <w:szCs w:val="24"/>
        </w:rPr>
      </w:pPr>
    </w:p>
    <w:p w:rsidR="00772B57" w:rsidRDefault="00772B57" w:rsidP="00772B57">
      <w:pPr>
        <w:jc w:val="center"/>
        <w:rPr>
          <w:rFonts w:ascii="Arial" w:hAnsi="Arial" w:cs="Arial"/>
          <w:b/>
          <w:sz w:val="24"/>
          <w:szCs w:val="24"/>
        </w:rPr>
      </w:pPr>
    </w:p>
    <w:p w:rsidR="00772B57" w:rsidRDefault="00772B57" w:rsidP="00772B57">
      <w:pPr>
        <w:jc w:val="center"/>
        <w:rPr>
          <w:rFonts w:ascii="Arial" w:hAnsi="Arial" w:cs="Arial"/>
          <w:b/>
          <w:sz w:val="24"/>
          <w:szCs w:val="24"/>
        </w:rPr>
      </w:pPr>
    </w:p>
    <w:p w:rsidR="00772B57" w:rsidRDefault="00772B57" w:rsidP="00772B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RICARDO VASCONCELOS</w:t>
      </w:r>
    </w:p>
    <w:p w:rsidR="00772B57" w:rsidRDefault="00772B57" w:rsidP="00772B5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Presidente</w:t>
      </w:r>
    </w:p>
    <w:p w:rsidR="00772B57" w:rsidRDefault="00772B57" w:rsidP="00772B57">
      <w:pPr>
        <w:jc w:val="center"/>
        <w:rPr>
          <w:rFonts w:ascii="Arial" w:hAnsi="Arial" w:cs="Arial"/>
          <w:sz w:val="24"/>
          <w:szCs w:val="24"/>
        </w:rPr>
      </w:pPr>
    </w:p>
    <w:p w:rsidR="00772B57" w:rsidRDefault="00772B57" w:rsidP="00772B57">
      <w:pPr>
        <w:jc w:val="center"/>
        <w:rPr>
          <w:rFonts w:ascii="Arial" w:hAnsi="Arial" w:cs="Arial"/>
          <w:sz w:val="24"/>
          <w:szCs w:val="24"/>
        </w:rPr>
      </w:pPr>
    </w:p>
    <w:p w:rsidR="00772B57" w:rsidRDefault="00772B57" w:rsidP="00772B57">
      <w:pPr>
        <w:jc w:val="center"/>
        <w:rPr>
          <w:rFonts w:ascii="Arial" w:hAnsi="Arial" w:cs="Arial"/>
          <w:sz w:val="24"/>
          <w:szCs w:val="24"/>
        </w:rPr>
      </w:pPr>
    </w:p>
    <w:p w:rsidR="006820CD" w:rsidRDefault="006820CD" w:rsidP="006820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EDUARDO LIMA</w:t>
      </w:r>
    </w:p>
    <w:p w:rsidR="00772B57" w:rsidRDefault="00772B57" w:rsidP="00772B5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Secretário</w:t>
      </w:r>
    </w:p>
    <w:p w:rsidR="00772B57" w:rsidRDefault="00772B57" w:rsidP="00772B57">
      <w:pPr>
        <w:jc w:val="center"/>
        <w:rPr>
          <w:rFonts w:ascii="Arial" w:hAnsi="Arial" w:cs="Arial"/>
          <w:sz w:val="24"/>
          <w:szCs w:val="24"/>
        </w:rPr>
      </w:pPr>
    </w:p>
    <w:p w:rsidR="00772B57" w:rsidRDefault="00772B57" w:rsidP="00772B57">
      <w:pPr>
        <w:jc w:val="center"/>
        <w:rPr>
          <w:rFonts w:ascii="Arial" w:hAnsi="Arial" w:cs="Arial"/>
          <w:sz w:val="24"/>
          <w:szCs w:val="24"/>
        </w:rPr>
      </w:pPr>
    </w:p>
    <w:p w:rsidR="00772B57" w:rsidRDefault="00772B57" w:rsidP="00772B57">
      <w:pPr>
        <w:jc w:val="center"/>
        <w:rPr>
          <w:rFonts w:ascii="Arial" w:hAnsi="Arial" w:cs="Arial"/>
          <w:sz w:val="24"/>
          <w:szCs w:val="24"/>
        </w:rPr>
      </w:pPr>
    </w:p>
    <w:p w:rsidR="00772B57" w:rsidRDefault="00772B57" w:rsidP="00772B5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ALDEILSON SOARES (Binho)</w:t>
      </w:r>
      <w:r>
        <w:rPr>
          <w:rFonts w:ascii="Arial" w:hAnsi="Arial" w:cs="Arial"/>
          <w:sz w:val="24"/>
          <w:szCs w:val="24"/>
        </w:rPr>
        <w:t xml:space="preserve"> </w:t>
      </w:r>
    </w:p>
    <w:p w:rsidR="00772B57" w:rsidRDefault="00772B57" w:rsidP="00772B5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 Secretário</w:t>
      </w:r>
    </w:p>
    <w:p w:rsidR="00772B57" w:rsidRDefault="00772B57" w:rsidP="00772B57">
      <w:pPr>
        <w:jc w:val="center"/>
        <w:rPr>
          <w:rFonts w:ascii="Arial" w:hAnsi="Arial" w:cs="Arial"/>
          <w:b/>
          <w:sz w:val="24"/>
          <w:szCs w:val="24"/>
        </w:rPr>
      </w:pPr>
    </w:p>
    <w:p w:rsidR="00772B57" w:rsidRDefault="00772B57" w:rsidP="00772B57">
      <w:pPr>
        <w:jc w:val="center"/>
        <w:rPr>
          <w:rFonts w:ascii="Arial" w:hAnsi="Arial" w:cs="Arial"/>
          <w:b/>
          <w:sz w:val="24"/>
          <w:szCs w:val="24"/>
        </w:rPr>
      </w:pPr>
    </w:p>
    <w:p w:rsidR="00772B57" w:rsidRDefault="00772B57" w:rsidP="00772B57">
      <w:pPr>
        <w:jc w:val="center"/>
        <w:rPr>
          <w:rFonts w:ascii="Arial" w:hAnsi="Arial" w:cs="Arial"/>
          <w:b/>
          <w:sz w:val="24"/>
          <w:szCs w:val="24"/>
        </w:rPr>
      </w:pPr>
    </w:p>
    <w:p w:rsidR="00772B57" w:rsidRDefault="00772B57" w:rsidP="00772B57">
      <w:pPr>
        <w:jc w:val="center"/>
        <w:rPr>
          <w:rFonts w:ascii="Arial" w:hAnsi="Arial" w:cs="Arial"/>
          <w:b/>
          <w:sz w:val="24"/>
          <w:szCs w:val="24"/>
        </w:rPr>
      </w:pPr>
    </w:p>
    <w:p w:rsidR="00772B57" w:rsidRDefault="00772B57" w:rsidP="00772B57">
      <w:pPr>
        <w:jc w:val="center"/>
        <w:rPr>
          <w:rFonts w:ascii="Arial" w:hAnsi="Arial" w:cs="Arial"/>
          <w:b/>
          <w:sz w:val="24"/>
          <w:szCs w:val="24"/>
        </w:rPr>
      </w:pPr>
    </w:p>
    <w:p w:rsidR="00772B57" w:rsidRDefault="00772B57" w:rsidP="00772B57">
      <w:pPr>
        <w:jc w:val="center"/>
        <w:rPr>
          <w:rFonts w:ascii="Arial" w:hAnsi="Arial" w:cs="Arial"/>
          <w:b/>
          <w:sz w:val="24"/>
          <w:szCs w:val="24"/>
        </w:rPr>
      </w:pPr>
      <w:r w:rsidRPr="0055455A">
        <w:rPr>
          <w:rFonts w:ascii="Arial" w:hAnsi="Arial" w:cs="Arial"/>
          <w:b/>
          <w:sz w:val="24"/>
          <w:szCs w:val="24"/>
        </w:rPr>
        <w:t>JUSTIFICATIVA</w:t>
      </w:r>
    </w:p>
    <w:p w:rsidR="00772B57" w:rsidRDefault="00772B57" w:rsidP="00772B57">
      <w:pPr>
        <w:jc w:val="center"/>
        <w:rPr>
          <w:rFonts w:ascii="Arial" w:hAnsi="Arial" w:cs="Arial"/>
          <w:b/>
          <w:sz w:val="24"/>
          <w:szCs w:val="24"/>
        </w:rPr>
      </w:pPr>
    </w:p>
    <w:p w:rsidR="00772B57" w:rsidRDefault="00772B57" w:rsidP="00772B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Vereadoras.</w:t>
      </w:r>
    </w:p>
    <w:p w:rsidR="00772B57" w:rsidRDefault="00772B57" w:rsidP="00772B57">
      <w:pPr>
        <w:jc w:val="both"/>
        <w:rPr>
          <w:rFonts w:ascii="Arial" w:hAnsi="Arial" w:cs="Arial"/>
          <w:sz w:val="24"/>
          <w:szCs w:val="24"/>
        </w:rPr>
      </w:pPr>
    </w:p>
    <w:p w:rsidR="00772B57" w:rsidRDefault="00772B57" w:rsidP="00772B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Vereadores.</w:t>
      </w:r>
    </w:p>
    <w:p w:rsidR="00772B57" w:rsidRDefault="00772B57" w:rsidP="00772B57">
      <w:pPr>
        <w:jc w:val="both"/>
        <w:rPr>
          <w:rFonts w:ascii="Arial" w:hAnsi="Arial" w:cs="Arial"/>
          <w:sz w:val="24"/>
          <w:szCs w:val="24"/>
        </w:rPr>
      </w:pPr>
    </w:p>
    <w:p w:rsidR="00772B57" w:rsidRDefault="00772B57" w:rsidP="00772B57">
      <w:pPr>
        <w:jc w:val="both"/>
        <w:rPr>
          <w:rFonts w:ascii="Arial" w:hAnsi="Arial" w:cs="Arial"/>
          <w:sz w:val="24"/>
          <w:szCs w:val="24"/>
        </w:rPr>
      </w:pPr>
    </w:p>
    <w:p w:rsidR="00772B57" w:rsidRDefault="00772B57" w:rsidP="00772B57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Mesa Diretora da Câmara Municipal de Aracaju apresenta para apreciação e </w:t>
      </w:r>
      <w:proofErr w:type="gramStart"/>
      <w:r>
        <w:rPr>
          <w:rFonts w:ascii="Arial" w:hAnsi="Arial" w:cs="Arial"/>
          <w:sz w:val="24"/>
          <w:szCs w:val="24"/>
        </w:rPr>
        <w:t>deliberação de Vossas Excelências, Projeto</w:t>
      </w:r>
      <w:proofErr w:type="gramEnd"/>
      <w:r>
        <w:rPr>
          <w:rFonts w:ascii="Arial" w:hAnsi="Arial" w:cs="Arial"/>
          <w:sz w:val="24"/>
          <w:szCs w:val="24"/>
        </w:rPr>
        <w:t xml:space="preserve"> de Resolução que homologa e Ratifica o Ato nº 3, de 8 de janeiro de 2024, </w:t>
      </w:r>
      <w:r w:rsidRPr="00915856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r</w:t>
      </w:r>
      <w:r w:rsidRPr="00772B57">
        <w:rPr>
          <w:rFonts w:ascii="Arial" w:hAnsi="Arial" w:cs="Arial"/>
          <w:sz w:val="24"/>
          <w:szCs w:val="24"/>
        </w:rPr>
        <w:t>egulamenta o disposto no art. 20 da Lei nº 14.133, de 1º de abril de 2021, para estabelecer o enquadramento dos bens de consumo adquiridos para suprir as demandas das estruturas da Câmara Municipal de Aracaju nas categorias de qualidade comum e de luxo.</w:t>
      </w:r>
    </w:p>
    <w:p w:rsidR="00772B57" w:rsidRDefault="00772B57" w:rsidP="00772B57">
      <w:pPr>
        <w:jc w:val="both"/>
        <w:rPr>
          <w:rFonts w:ascii="Arial" w:hAnsi="Arial" w:cs="Arial"/>
          <w:sz w:val="24"/>
          <w:szCs w:val="24"/>
        </w:rPr>
      </w:pPr>
    </w:p>
    <w:p w:rsidR="00772B57" w:rsidRDefault="00772B57" w:rsidP="00772B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a Mesa Diretora espera contar com o apoio dos ilustres pares na discussão, deliberação e aprovação dessa importante matéria para o Legislativo Municipal de Aracaju.</w:t>
      </w:r>
    </w:p>
    <w:p w:rsidR="00772B57" w:rsidRDefault="00772B57" w:rsidP="00772B57">
      <w:pPr>
        <w:jc w:val="both"/>
        <w:rPr>
          <w:rFonts w:ascii="Arial" w:hAnsi="Arial" w:cs="Arial"/>
          <w:sz w:val="24"/>
          <w:szCs w:val="24"/>
        </w:rPr>
      </w:pPr>
    </w:p>
    <w:p w:rsidR="00772B57" w:rsidRDefault="00772B57" w:rsidP="00772B57">
      <w:pPr>
        <w:jc w:val="center"/>
        <w:rPr>
          <w:rFonts w:ascii="Arial" w:hAnsi="Arial" w:cs="Arial"/>
          <w:sz w:val="24"/>
          <w:szCs w:val="24"/>
        </w:rPr>
      </w:pPr>
    </w:p>
    <w:p w:rsidR="00772B57" w:rsidRPr="001C761E" w:rsidRDefault="00772B57" w:rsidP="00772B5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“Graccho Cardoso” em Aracaju, </w:t>
      </w: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de fevereiro de 2024.</w:t>
      </w:r>
    </w:p>
    <w:p w:rsidR="00772B57" w:rsidRDefault="00772B57" w:rsidP="00772B57">
      <w:pPr>
        <w:jc w:val="center"/>
        <w:rPr>
          <w:rFonts w:ascii="Arial" w:hAnsi="Arial" w:cs="Arial"/>
          <w:b/>
          <w:sz w:val="24"/>
          <w:szCs w:val="24"/>
        </w:rPr>
      </w:pPr>
    </w:p>
    <w:p w:rsidR="00772B57" w:rsidRDefault="00772B57" w:rsidP="00772B57">
      <w:pPr>
        <w:jc w:val="center"/>
        <w:rPr>
          <w:rFonts w:ascii="Arial" w:hAnsi="Arial" w:cs="Arial"/>
          <w:b/>
          <w:sz w:val="24"/>
          <w:szCs w:val="24"/>
        </w:rPr>
      </w:pPr>
    </w:p>
    <w:p w:rsidR="00772B57" w:rsidRDefault="00772B57" w:rsidP="00772B57">
      <w:pPr>
        <w:jc w:val="center"/>
        <w:rPr>
          <w:rFonts w:ascii="Arial" w:hAnsi="Arial" w:cs="Arial"/>
          <w:b/>
          <w:sz w:val="24"/>
          <w:szCs w:val="24"/>
        </w:rPr>
      </w:pPr>
    </w:p>
    <w:p w:rsidR="00772B57" w:rsidRDefault="00772B57" w:rsidP="00772B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RICARDO VASCONCELOS</w:t>
      </w:r>
    </w:p>
    <w:p w:rsidR="00772B57" w:rsidRDefault="00772B57" w:rsidP="00772B5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Presidente</w:t>
      </w:r>
    </w:p>
    <w:p w:rsidR="00772B57" w:rsidRDefault="00772B57" w:rsidP="00772B57">
      <w:pPr>
        <w:jc w:val="center"/>
        <w:rPr>
          <w:rFonts w:ascii="Arial" w:hAnsi="Arial" w:cs="Arial"/>
          <w:sz w:val="24"/>
          <w:szCs w:val="24"/>
        </w:rPr>
      </w:pPr>
    </w:p>
    <w:p w:rsidR="00772B57" w:rsidRDefault="00772B57" w:rsidP="00772B57">
      <w:pPr>
        <w:jc w:val="center"/>
        <w:rPr>
          <w:rFonts w:ascii="Arial" w:hAnsi="Arial" w:cs="Arial"/>
          <w:sz w:val="24"/>
          <w:szCs w:val="24"/>
        </w:rPr>
      </w:pPr>
    </w:p>
    <w:p w:rsidR="00772B57" w:rsidRDefault="00772B57" w:rsidP="00772B57">
      <w:pPr>
        <w:jc w:val="center"/>
        <w:rPr>
          <w:rFonts w:ascii="Arial" w:hAnsi="Arial" w:cs="Arial"/>
          <w:sz w:val="24"/>
          <w:szCs w:val="24"/>
        </w:rPr>
      </w:pPr>
    </w:p>
    <w:p w:rsidR="006820CD" w:rsidRDefault="006820CD" w:rsidP="006820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EDUARDO LIMA</w:t>
      </w:r>
    </w:p>
    <w:p w:rsidR="00772B57" w:rsidRDefault="00772B57" w:rsidP="00772B57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1º Secretário</w:t>
      </w:r>
    </w:p>
    <w:p w:rsidR="00772B57" w:rsidRDefault="00772B57" w:rsidP="00772B57">
      <w:pPr>
        <w:jc w:val="center"/>
        <w:rPr>
          <w:rFonts w:ascii="Arial" w:hAnsi="Arial" w:cs="Arial"/>
          <w:sz w:val="24"/>
          <w:szCs w:val="24"/>
        </w:rPr>
      </w:pPr>
    </w:p>
    <w:p w:rsidR="00772B57" w:rsidRDefault="00772B57" w:rsidP="00772B57">
      <w:pPr>
        <w:jc w:val="center"/>
        <w:rPr>
          <w:rFonts w:ascii="Arial" w:hAnsi="Arial" w:cs="Arial"/>
          <w:sz w:val="24"/>
          <w:szCs w:val="24"/>
        </w:rPr>
      </w:pPr>
    </w:p>
    <w:p w:rsidR="00772B57" w:rsidRDefault="00772B57" w:rsidP="00772B57">
      <w:pPr>
        <w:jc w:val="center"/>
        <w:rPr>
          <w:rFonts w:ascii="Arial" w:hAnsi="Arial" w:cs="Arial"/>
          <w:sz w:val="24"/>
          <w:szCs w:val="24"/>
        </w:rPr>
      </w:pPr>
    </w:p>
    <w:p w:rsidR="00772B57" w:rsidRDefault="00772B57" w:rsidP="00772B5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ALDEILSON SOARES (Binho)</w:t>
      </w:r>
      <w:r>
        <w:rPr>
          <w:rFonts w:ascii="Arial" w:hAnsi="Arial" w:cs="Arial"/>
          <w:sz w:val="24"/>
          <w:szCs w:val="24"/>
        </w:rPr>
        <w:t xml:space="preserve"> </w:t>
      </w:r>
    </w:p>
    <w:p w:rsidR="00772B57" w:rsidRDefault="00772B57" w:rsidP="00772B5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 Secretário</w:t>
      </w:r>
    </w:p>
    <w:p w:rsidR="00772B57" w:rsidRDefault="00772B57" w:rsidP="00772B57">
      <w:pPr>
        <w:jc w:val="center"/>
        <w:rPr>
          <w:rFonts w:ascii="Arial" w:hAnsi="Arial" w:cs="Arial"/>
          <w:sz w:val="24"/>
          <w:szCs w:val="24"/>
        </w:rPr>
      </w:pPr>
    </w:p>
    <w:p w:rsidR="00772B57" w:rsidRDefault="00772B57" w:rsidP="00772B57">
      <w:pPr>
        <w:jc w:val="center"/>
        <w:rPr>
          <w:rFonts w:ascii="Arial" w:hAnsi="Arial" w:cs="Arial"/>
          <w:sz w:val="24"/>
          <w:szCs w:val="24"/>
        </w:rPr>
      </w:pPr>
    </w:p>
    <w:p w:rsidR="00772B57" w:rsidRDefault="00772B57" w:rsidP="00772B57">
      <w:pPr>
        <w:jc w:val="center"/>
        <w:rPr>
          <w:rFonts w:ascii="Arial" w:hAnsi="Arial" w:cs="Arial"/>
          <w:sz w:val="24"/>
          <w:szCs w:val="24"/>
        </w:rPr>
      </w:pPr>
    </w:p>
    <w:p w:rsidR="00772B57" w:rsidRDefault="00772B57" w:rsidP="00772B57">
      <w:pPr>
        <w:jc w:val="center"/>
        <w:rPr>
          <w:rFonts w:ascii="Arial" w:hAnsi="Arial" w:cs="Arial"/>
          <w:sz w:val="24"/>
          <w:szCs w:val="24"/>
        </w:rPr>
      </w:pPr>
    </w:p>
    <w:p w:rsidR="00772B57" w:rsidRDefault="00772B57" w:rsidP="00772B57">
      <w:pPr>
        <w:jc w:val="center"/>
        <w:rPr>
          <w:rFonts w:ascii="Arial" w:hAnsi="Arial" w:cs="Arial"/>
          <w:sz w:val="24"/>
          <w:szCs w:val="24"/>
        </w:rPr>
      </w:pPr>
    </w:p>
    <w:p w:rsidR="00772B57" w:rsidRDefault="00772B57" w:rsidP="00772B57">
      <w:pPr>
        <w:jc w:val="both"/>
        <w:rPr>
          <w:rFonts w:ascii="Arial" w:hAnsi="Arial" w:cs="Arial"/>
          <w:sz w:val="24"/>
          <w:szCs w:val="24"/>
        </w:rPr>
      </w:pPr>
    </w:p>
    <w:p w:rsidR="00772B57" w:rsidRDefault="00772B57" w:rsidP="00772B57">
      <w:pPr>
        <w:jc w:val="both"/>
        <w:rPr>
          <w:rFonts w:ascii="Arial" w:hAnsi="Arial" w:cs="Arial"/>
          <w:sz w:val="24"/>
          <w:szCs w:val="24"/>
        </w:rPr>
      </w:pPr>
    </w:p>
    <w:p w:rsidR="00772B57" w:rsidRDefault="00772B57" w:rsidP="00772B57"/>
    <w:p w:rsidR="00772B57" w:rsidRDefault="00772B57" w:rsidP="00772B57"/>
    <w:p w:rsidR="00772B57" w:rsidRDefault="00772B57" w:rsidP="00772B57"/>
    <w:p w:rsidR="00043AE9" w:rsidRDefault="00043AE9"/>
    <w:sectPr w:rsidR="00043AE9" w:rsidSect="000A3F49">
      <w:headerReference w:type="default" r:id="rId7"/>
      <w:footerReference w:type="default" r:id="rId8"/>
      <w:pgSz w:w="11910" w:h="16840"/>
      <w:pgMar w:top="1701" w:right="1134" w:bottom="1134" w:left="1701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820CD">
      <w:r>
        <w:separator/>
      </w:r>
    </w:p>
  </w:endnote>
  <w:endnote w:type="continuationSeparator" w:id="0">
    <w:p w:rsidR="00000000" w:rsidRDefault="0068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9C9" w:rsidRDefault="00772B5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00F07D" wp14:editId="7816B057">
              <wp:simplePos x="0" y="0"/>
              <wp:positionH relativeFrom="page">
                <wp:posOffset>6931025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49C9" w:rsidRDefault="00772B5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20CD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45.75pt;margin-top:780.8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" filled="f" stroked="f">
              <v:textbox inset="0,0,0,0">
                <w:txbxContent>
                  <w:p w:rsidR="004549C9" w:rsidRDefault="00772B5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820CD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820CD">
      <w:r>
        <w:separator/>
      </w:r>
    </w:p>
  </w:footnote>
  <w:footnote w:type="continuationSeparator" w:id="0">
    <w:p w:rsidR="00000000" w:rsidRDefault="00682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242" w:rsidRDefault="006820CD" w:rsidP="009B02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color w:val="000000"/>
        <w:lang w:eastAsia="pt-BR"/>
      </w:rPr>
    </w:pPr>
  </w:p>
  <w:p w:rsidR="009B0242" w:rsidRDefault="006820CD" w:rsidP="009B02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color w:val="000000"/>
        <w:lang w:eastAsia="pt-BR"/>
      </w:rPr>
    </w:pPr>
  </w:p>
  <w:p w:rsidR="009B0242" w:rsidRPr="00FE430D" w:rsidRDefault="00772B57" w:rsidP="009B02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color w:val="000000"/>
        <w:lang w:eastAsia="pt-BR"/>
      </w:rPr>
    </w:pPr>
    <w:r w:rsidRPr="00FE430D">
      <w:rPr>
        <w:rFonts w:ascii="Calibri" w:eastAsia="Calibri" w:hAnsi="Calibri" w:cs="Calibri"/>
        <w:noProof/>
        <w:color w:val="000000"/>
        <w:lang w:val="pt-BR" w:eastAsia="pt-BR"/>
      </w:rPr>
      <w:drawing>
        <wp:inline distT="0" distB="0" distL="114300" distR="114300" wp14:anchorId="58894BEF" wp14:editId="2632FC2C">
          <wp:extent cx="904875" cy="90487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B0242" w:rsidRPr="00FE430D" w:rsidRDefault="00772B57" w:rsidP="009B02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color w:val="000000"/>
        <w:lang w:eastAsia="pt-BR"/>
      </w:rPr>
    </w:pPr>
    <w:r w:rsidRPr="00FE430D">
      <w:rPr>
        <w:rFonts w:ascii="Calibri" w:eastAsia="Calibri" w:hAnsi="Calibri" w:cs="Calibri"/>
        <w:b/>
        <w:color w:val="000000"/>
        <w:lang w:eastAsia="pt-BR"/>
      </w:rPr>
      <w:t>ESTADO DE SERGIPE</w:t>
    </w:r>
  </w:p>
  <w:p w:rsidR="009B0242" w:rsidRDefault="00772B57" w:rsidP="009B02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color w:val="000000"/>
        <w:lang w:eastAsia="pt-BR"/>
      </w:rPr>
    </w:pPr>
    <w:r w:rsidRPr="00FE430D">
      <w:rPr>
        <w:rFonts w:ascii="Calibri" w:eastAsia="Calibri" w:hAnsi="Calibri" w:cs="Calibri"/>
        <w:b/>
        <w:color w:val="000000"/>
        <w:lang w:eastAsia="pt-BR"/>
      </w:rPr>
      <w:t>CÂMARA MUNICIPAL DE ARACAJU</w:t>
    </w:r>
  </w:p>
  <w:p w:rsidR="009B0242" w:rsidRDefault="006820CD" w:rsidP="009B02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57"/>
    <w:rsid w:val="00043AE9"/>
    <w:rsid w:val="006820CD"/>
    <w:rsid w:val="0077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2B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72B5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72B57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72B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2B57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20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0CD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2B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72B5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72B57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72B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2B57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20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0CD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Moacir Joaquin de Santana Junior</dc:creator>
  <cp:keywords/>
  <dc:description/>
  <cp:lastModifiedBy>Isabelle do Nascimeno Santana</cp:lastModifiedBy>
  <cp:revision>2</cp:revision>
  <dcterms:created xsi:type="dcterms:W3CDTF">2024-02-05T12:07:00Z</dcterms:created>
  <dcterms:modified xsi:type="dcterms:W3CDTF">2024-02-05T13:47:00Z</dcterms:modified>
</cp:coreProperties>
</file>