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AA61E" w14:textId="3E38271D" w:rsidR="004E2FB7" w:rsidRPr="004E2FB7" w:rsidRDefault="004E2FB7" w:rsidP="00516C40">
      <w:pPr>
        <w:spacing w:line="276" w:lineRule="auto"/>
        <w:jc w:val="center"/>
        <w:rPr>
          <w:b/>
          <w:bCs/>
          <w:sz w:val="24"/>
          <w:szCs w:val="24"/>
        </w:rPr>
      </w:pPr>
      <w:r w:rsidRPr="004E2FB7">
        <w:rPr>
          <w:b/>
          <w:bCs/>
          <w:sz w:val="24"/>
          <w:szCs w:val="24"/>
        </w:rPr>
        <w:t>PROJETO DE LEI</w:t>
      </w:r>
      <w:r w:rsidR="003647D5">
        <w:rPr>
          <w:b/>
          <w:bCs/>
          <w:sz w:val="24"/>
          <w:szCs w:val="24"/>
        </w:rPr>
        <w:t xml:space="preserve"> COMPLEMENTAR</w:t>
      </w:r>
      <w:r w:rsidRPr="004E2FB7">
        <w:rPr>
          <w:b/>
          <w:bCs/>
          <w:sz w:val="24"/>
          <w:szCs w:val="24"/>
        </w:rPr>
        <w:t xml:space="preserve"> N° ___/202</w:t>
      </w:r>
      <w:r w:rsidR="00516C40">
        <w:rPr>
          <w:b/>
          <w:bCs/>
          <w:sz w:val="24"/>
          <w:szCs w:val="24"/>
        </w:rPr>
        <w:t>3</w:t>
      </w:r>
    </w:p>
    <w:p w14:paraId="23B3066F" w14:textId="4BFFAE8C" w:rsidR="004E2FB7" w:rsidRDefault="004E2FB7" w:rsidP="004E2FB7">
      <w:pPr>
        <w:spacing w:line="276" w:lineRule="auto"/>
        <w:jc w:val="both"/>
        <w:rPr>
          <w:sz w:val="24"/>
          <w:szCs w:val="24"/>
        </w:rPr>
      </w:pPr>
    </w:p>
    <w:p w14:paraId="65293EE0" w14:textId="5C30C9F6" w:rsidR="004E2FB7" w:rsidRDefault="008E638A" w:rsidP="004E2FB7">
      <w:pPr>
        <w:spacing w:line="276" w:lineRule="auto"/>
        <w:jc w:val="both"/>
        <w:rPr>
          <w:sz w:val="24"/>
          <w:szCs w:val="24"/>
        </w:rPr>
      </w:pPr>
      <w:r w:rsidRPr="004E2FB7">
        <w:rPr>
          <w:b/>
          <w:bCs/>
          <w:sz w:val="24"/>
          <w:szCs w:val="24"/>
        </w:rPr>
        <w:t xml:space="preserve">Autoria: </w:t>
      </w:r>
      <w:r w:rsidRPr="003647D5">
        <w:rPr>
          <w:sz w:val="24"/>
          <w:szCs w:val="24"/>
        </w:rPr>
        <w:t>Professor Bittencourt</w:t>
      </w:r>
    </w:p>
    <w:p w14:paraId="27AB19CF" w14:textId="5B3F2F28" w:rsidR="00604235" w:rsidRDefault="00604235" w:rsidP="004E2FB7">
      <w:pPr>
        <w:spacing w:line="276" w:lineRule="auto"/>
        <w:jc w:val="both"/>
        <w:rPr>
          <w:sz w:val="24"/>
          <w:szCs w:val="24"/>
        </w:rPr>
      </w:pPr>
    </w:p>
    <w:p w14:paraId="480B2061" w14:textId="3502CB76" w:rsidR="00516C40" w:rsidRPr="003647D5" w:rsidRDefault="003647D5" w:rsidP="003647D5">
      <w:pPr>
        <w:ind w:left="4536"/>
        <w:jc w:val="both"/>
        <w:rPr>
          <w:iCs/>
        </w:rPr>
      </w:pPr>
      <w:r w:rsidRPr="003647D5">
        <w:rPr>
          <w:iCs/>
        </w:rPr>
        <w:t xml:space="preserve">Acrescenta parágrafo único ao art. 94 da Lei nº. 1.547, de 20 de dezembro de 1989, e alterações posteriores, que institui o Código Tributário Municipal e Normas de Procedimento Administrativo Fiscal, e dá providências correlatas. </w:t>
      </w:r>
    </w:p>
    <w:p w14:paraId="2033EAC9" w14:textId="77777777" w:rsidR="003647D5" w:rsidRDefault="003647D5" w:rsidP="004E2FB7">
      <w:pPr>
        <w:spacing w:line="276" w:lineRule="auto"/>
        <w:jc w:val="both"/>
        <w:rPr>
          <w:sz w:val="24"/>
          <w:szCs w:val="24"/>
        </w:rPr>
      </w:pPr>
    </w:p>
    <w:p w14:paraId="55D58DDB" w14:textId="689E66DF" w:rsidR="00AA1360" w:rsidRDefault="00E32475" w:rsidP="003647D5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 Prefeito do Município de Aracaju f</w:t>
      </w:r>
      <w:r w:rsidR="008E638A">
        <w:rPr>
          <w:sz w:val="24"/>
          <w:szCs w:val="24"/>
        </w:rPr>
        <w:t>az saber que a Câmara de Vereadores aprovou e ele sanciona a seguinte Lei:</w:t>
      </w:r>
    </w:p>
    <w:p w14:paraId="6117DB30" w14:textId="26594D69" w:rsidR="00604235" w:rsidRDefault="00604235" w:rsidP="004E2FB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FB74E8" w14:textId="77777777" w:rsidR="003647D5" w:rsidRPr="001D400B" w:rsidRDefault="003647D5" w:rsidP="004E2FB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A5A03C" w14:textId="4DE25C7D" w:rsidR="00516C40" w:rsidRPr="00516C40" w:rsidRDefault="00516C40" w:rsidP="00516C40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16C4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16C40">
        <w:rPr>
          <w:rFonts w:ascii="Times New Roman" w:hAnsi="Times New Roman" w:cs="Times New Roman"/>
          <w:sz w:val="24"/>
          <w:szCs w:val="24"/>
        </w:rPr>
        <w:t xml:space="preserve"> </w:t>
      </w:r>
      <w:r w:rsidR="003647D5">
        <w:rPr>
          <w:rFonts w:ascii="Times New Roman" w:hAnsi="Times New Roman" w:cs="Times New Roman"/>
          <w:sz w:val="24"/>
          <w:szCs w:val="24"/>
        </w:rPr>
        <w:t>Fica acrescentado o parágrafo único ao art. 94 da Lei n.º 1.547, de 20 de dezembro de 1989, e alterações posteriores, que institui o Código Tributário Municipal e Normas de Procedimento Administrativo Fiscal, que passa a vigorar com a seguinte redação:</w:t>
      </w:r>
    </w:p>
    <w:p w14:paraId="2F53A9BF" w14:textId="0B7119BE" w:rsidR="00516C40" w:rsidRDefault="00516C40" w:rsidP="00516C40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CF54F4A" w14:textId="00030646" w:rsidR="003647D5" w:rsidRPr="003647D5" w:rsidRDefault="003647D5" w:rsidP="003647D5">
      <w:pPr>
        <w:pStyle w:val="SemEspaamento"/>
        <w:ind w:left="340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7D5">
        <w:rPr>
          <w:rFonts w:ascii="Times New Roman" w:hAnsi="Times New Roman" w:cs="Times New Roman"/>
          <w:b/>
          <w:bCs/>
          <w:sz w:val="20"/>
          <w:szCs w:val="20"/>
        </w:rPr>
        <w:t>“Art. 94 [...]</w:t>
      </w:r>
    </w:p>
    <w:p w14:paraId="5A64980B" w14:textId="73148124" w:rsidR="003647D5" w:rsidRPr="003647D5" w:rsidRDefault="003647D5" w:rsidP="003647D5">
      <w:pPr>
        <w:pStyle w:val="SemEspaamento"/>
        <w:ind w:left="340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7D5">
        <w:rPr>
          <w:rFonts w:ascii="Times New Roman" w:hAnsi="Times New Roman" w:cs="Times New Roman"/>
          <w:b/>
          <w:bCs/>
          <w:sz w:val="20"/>
          <w:szCs w:val="20"/>
        </w:rPr>
        <w:t xml:space="preserve">Parágrafo único. No tocante aos templos religiosos dos </w:t>
      </w:r>
      <w:r w:rsidR="008C0CB2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8C0CB2" w:rsidRPr="008C0CB2">
        <w:rPr>
          <w:rFonts w:ascii="Times New Roman" w:hAnsi="Times New Roman" w:cs="Times New Roman"/>
          <w:b/>
          <w:bCs/>
          <w:sz w:val="20"/>
          <w:szCs w:val="20"/>
        </w:rPr>
        <w:t xml:space="preserve">ovos e </w:t>
      </w:r>
      <w:r w:rsidR="008C0CB2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8C0CB2" w:rsidRPr="008C0CB2">
        <w:rPr>
          <w:rFonts w:ascii="Times New Roman" w:hAnsi="Times New Roman" w:cs="Times New Roman"/>
          <w:b/>
          <w:bCs/>
          <w:sz w:val="20"/>
          <w:szCs w:val="20"/>
        </w:rPr>
        <w:t xml:space="preserve">omunidades de </w:t>
      </w:r>
      <w:r w:rsidR="008C0CB2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8C0CB2" w:rsidRPr="008C0CB2">
        <w:rPr>
          <w:rFonts w:ascii="Times New Roman" w:hAnsi="Times New Roman" w:cs="Times New Roman"/>
          <w:b/>
          <w:bCs/>
          <w:sz w:val="20"/>
          <w:szCs w:val="20"/>
        </w:rPr>
        <w:t xml:space="preserve">erreiro e de </w:t>
      </w:r>
      <w:r w:rsidR="008C0CB2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8C0CB2" w:rsidRPr="008C0CB2">
        <w:rPr>
          <w:rFonts w:ascii="Times New Roman" w:hAnsi="Times New Roman" w:cs="Times New Roman"/>
          <w:b/>
          <w:bCs/>
          <w:sz w:val="20"/>
          <w:szCs w:val="20"/>
        </w:rPr>
        <w:t xml:space="preserve">atriz </w:t>
      </w:r>
      <w:r w:rsidR="008C0CB2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8C0CB2" w:rsidRPr="008C0CB2">
        <w:rPr>
          <w:rFonts w:ascii="Times New Roman" w:hAnsi="Times New Roman" w:cs="Times New Roman"/>
          <w:b/>
          <w:bCs/>
          <w:sz w:val="20"/>
          <w:szCs w:val="20"/>
        </w:rPr>
        <w:t>fricana</w:t>
      </w:r>
      <w:r w:rsidRPr="003647D5">
        <w:rPr>
          <w:rFonts w:ascii="Times New Roman" w:hAnsi="Times New Roman" w:cs="Times New Roman"/>
          <w:b/>
          <w:bCs/>
          <w:sz w:val="20"/>
          <w:szCs w:val="20"/>
        </w:rPr>
        <w:t xml:space="preserve">, caso </w:t>
      </w:r>
      <w:r>
        <w:rPr>
          <w:rFonts w:ascii="Times New Roman" w:hAnsi="Times New Roman" w:cs="Times New Roman"/>
          <w:b/>
          <w:bCs/>
          <w:sz w:val="20"/>
          <w:szCs w:val="20"/>
        </w:rPr>
        <w:t>as instituições</w:t>
      </w:r>
      <w:r w:rsidRPr="003647D5">
        <w:rPr>
          <w:rFonts w:ascii="Times New Roman" w:hAnsi="Times New Roman" w:cs="Times New Roman"/>
          <w:b/>
          <w:bCs/>
          <w:sz w:val="20"/>
          <w:szCs w:val="20"/>
        </w:rPr>
        <w:t xml:space="preserve"> religios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3647D5">
        <w:rPr>
          <w:rFonts w:ascii="Times New Roman" w:hAnsi="Times New Roman" w:cs="Times New Roman"/>
          <w:b/>
          <w:bCs/>
          <w:sz w:val="20"/>
          <w:szCs w:val="20"/>
        </w:rPr>
        <w:t>s não possuam inscrição no Cadastro Nacional da Pessoa Jurídica e desejem ter reconhecida a condição de templo religioso de suas organizações para fins de incidência da imunidade tributária prevista no art. 150, VI, alínea "b", da Constituição Federal</w:t>
      </w:r>
      <w:r w:rsidR="008C0CB2">
        <w:rPr>
          <w:rFonts w:ascii="Times New Roman" w:hAnsi="Times New Roman" w:cs="Times New Roman"/>
          <w:b/>
          <w:bCs/>
          <w:sz w:val="20"/>
          <w:szCs w:val="20"/>
        </w:rPr>
        <w:t>, estes</w:t>
      </w:r>
      <w:r w:rsidRPr="003647D5">
        <w:rPr>
          <w:rFonts w:ascii="Times New Roman" w:hAnsi="Times New Roman" w:cs="Times New Roman"/>
          <w:b/>
          <w:bCs/>
          <w:sz w:val="20"/>
          <w:szCs w:val="20"/>
        </w:rPr>
        <w:t xml:space="preserve"> deverão preencher requerimento, em meio físico ou digital, a ser disponibilizado pelo Poder Executivo Municipal, com as seguintes informações:</w:t>
      </w:r>
    </w:p>
    <w:p w14:paraId="4004CA4C" w14:textId="67518A64" w:rsidR="003647D5" w:rsidRPr="003647D5" w:rsidRDefault="003647D5" w:rsidP="003647D5">
      <w:pPr>
        <w:pStyle w:val="SemEspaamento"/>
        <w:ind w:left="340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7D5">
        <w:rPr>
          <w:rFonts w:ascii="Times New Roman" w:hAnsi="Times New Roman" w:cs="Times New Roman"/>
          <w:b/>
          <w:bCs/>
          <w:sz w:val="20"/>
          <w:szCs w:val="20"/>
        </w:rPr>
        <w:t xml:space="preserve">I - </w:t>
      </w:r>
      <w:r w:rsidR="008C0CB2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3647D5">
        <w:rPr>
          <w:rFonts w:ascii="Times New Roman" w:hAnsi="Times New Roman" w:cs="Times New Roman"/>
          <w:b/>
          <w:bCs/>
          <w:sz w:val="20"/>
          <w:szCs w:val="20"/>
        </w:rPr>
        <w:t xml:space="preserve"> segmento do Povo de Terreiro;</w:t>
      </w:r>
    </w:p>
    <w:p w14:paraId="0D214480" w14:textId="5E42D6A3" w:rsidR="003647D5" w:rsidRPr="003647D5" w:rsidRDefault="003647D5" w:rsidP="003647D5">
      <w:pPr>
        <w:pStyle w:val="SemEspaamento"/>
        <w:ind w:left="340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7D5">
        <w:rPr>
          <w:rFonts w:ascii="Times New Roman" w:hAnsi="Times New Roman" w:cs="Times New Roman"/>
          <w:b/>
          <w:bCs/>
          <w:sz w:val="20"/>
          <w:szCs w:val="20"/>
        </w:rPr>
        <w:t xml:space="preserve">II - </w:t>
      </w:r>
      <w:r w:rsidR="008C0CB2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3647D5">
        <w:rPr>
          <w:rFonts w:ascii="Times New Roman" w:hAnsi="Times New Roman" w:cs="Times New Roman"/>
          <w:b/>
          <w:bCs/>
          <w:sz w:val="20"/>
          <w:szCs w:val="20"/>
        </w:rPr>
        <w:t xml:space="preserve"> nação ou comunidade;</w:t>
      </w:r>
    </w:p>
    <w:p w14:paraId="496BA16B" w14:textId="054DF3BE" w:rsidR="003647D5" w:rsidRPr="003647D5" w:rsidRDefault="003647D5" w:rsidP="003647D5">
      <w:pPr>
        <w:pStyle w:val="SemEspaamento"/>
        <w:ind w:left="340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7D5">
        <w:rPr>
          <w:rFonts w:ascii="Times New Roman" w:hAnsi="Times New Roman" w:cs="Times New Roman"/>
          <w:b/>
          <w:bCs/>
          <w:sz w:val="20"/>
          <w:szCs w:val="20"/>
        </w:rPr>
        <w:t xml:space="preserve">III - </w:t>
      </w:r>
      <w:r w:rsidR="008C0CB2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3647D5">
        <w:rPr>
          <w:rFonts w:ascii="Times New Roman" w:hAnsi="Times New Roman" w:cs="Times New Roman"/>
          <w:b/>
          <w:bCs/>
          <w:sz w:val="20"/>
          <w:szCs w:val="20"/>
        </w:rPr>
        <w:t>ome da casa, bem como seu endereço;</w:t>
      </w:r>
    </w:p>
    <w:p w14:paraId="77C483F8" w14:textId="1B1AB173" w:rsidR="003647D5" w:rsidRPr="003647D5" w:rsidRDefault="003647D5" w:rsidP="003647D5">
      <w:pPr>
        <w:pStyle w:val="SemEspaamento"/>
        <w:ind w:left="340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7D5">
        <w:rPr>
          <w:rFonts w:ascii="Times New Roman" w:hAnsi="Times New Roman" w:cs="Times New Roman"/>
          <w:b/>
          <w:bCs/>
          <w:sz w:val="20"/>
          <w:szCs w:val="20"/>
        </w:rPr>
        <w:t xml:space="preserve">IV - </w:t>
      </w:r>
      <w:r w:rsidR="008C0CB2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3647D5">
        <w:rPr>
          <w:rFonts w:ascii="Times New Roman" w:hAnsi="Times New Roman" w:cs="Times New Roman"/>
          <w:b/>
          <w:bCs/>
          <w:sz w:val="20"/>
          <w:szCs w:val="20"/>
        </w:rPr>
        <w:t>á quanto tempo o imóvel funciona como templo religioso de matriz afro-brasileira;</w:t>
      </w:r>
    </w:p>
    <w:p w14:paraId="47590BE8" w14:textId="71BC1F2A" w:rsidR="003647D5" w:rsidRPr="003647D5" w:rsidRDefault="003647D5" w:rsidP="003647D5">
      <w:pPr>
        <w:pStyle w:val="SemEspaamento"/>
        <w:ind w:left="340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7D5">
        <w:rPr>
          <w:rFonts w:ascii="Times New Roman" w:hAnsi="Times New Roman" w:cs="Times New Roman"/>
          <w:b/>
          <w:bCs/>
          <w:sz w:val="20"/>
          <w:szCs w:val="20"/>
        </w:rPr>
        <w:t xml:space="preserve">V - </w:t>
      </w:r>
      <w:r w:rsidR="008C0CB2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3647D5">
        <w:rPr>
          <w:rFonts w:ascii="Times New Roman" w:hAnsi="Times New Roman" w:cs="Times New Roman"/>
          <w:b/>
          <w:bCs/>
          <w:sz w:val="20"/>
          <w:szCs w:val="20"/>
        </w:rPr>
        <w:t>e o imóvel está registrado, no competente Registro de Imóveis, em nome do líder do Terreiro;</w:t>
      </w:r>
    </w:p>
    <w:p w14:paraId="0F145D43" w14:textId="1A50CADD" w:rsidR="003647D5" w:rsidRPr="003647D5" w:rsidRDefault="003647D5" w:rsidP="003647D5">
      <w:pPr>
        <w:pStyle w:val="SemEspaamento"/>
        <w:ind w:left="340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7D5">
        <w:rPr>
          <w:rFonts w:ascii="Times New Roman" w:hAnsi="Times New Roman" w:cs="Times New Roman"/>
          <w:b/>
          <w:bCs/>
          <w:sz w:val="20"/>
          <w:szCs w:val="20"/>
        </w:rPr>
        <w:t xml:space="preserve">VI - </w:t>
      </w:r>
      <w:r w:rsidR="008C0CB2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3647D5">
        <w:rPr>
          <w:rFonts w:ascii="Times New Roman" w:hAnsi="Times New Roman" w:cs="Times New Roman"/>
          <w:b/>
          <w:bCs/>
          <w:sz w:val="20"/>
          <w:szCs w:val="20"/>
        </w:rPr>
        <w:t>e o líder religioso é possuidor de boa-fé, locatário ou detém outro vínculo jurídico com o imóvel.”</w:t>
      </w:r>
    </w:p>
    <w:p w14:paraId="22761AC9" w14:textId="77777777" w:rsidR="003647D5" w:rsidRPr="003647D5" w:rsidRDefault="003647D5" w:rsidP="003647D5">
      <w:pPr>
        <w:pStyle w:val="SemEspaamen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4B692" w14:textId="7D2B3AFE" w:rsidR="00516C40" w:rsidRPr="00516C40" w:rsidRDefault="00516C40" w:rsidP="00516C40">
      <w:pPr>
        <w:pStyle w:val="SemEspaamen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C4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3647D5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516C40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516C40">
        <w:rPr>
          <w:rFonts w:ascii="Times New Roman" w:hAnsi="Times New Roman" w:cs="Times New Roman"/>
          <w:sz w:val="24"/>
          <w:szCs w:val="24"/>
        </w:rPr>
        <w:t xml:space="preserve">Esta </w:t>
      </w:r>
      <w:r w:rsidR="003647D5">
        <w:rPr>
          <w:rFonts w:ascii="Times New Roman" w:hAnsi="Times New Roman" w:cs="Times New Roman"/>
          <w:sz w:val="24"/>
          <w:szCs w:val="24"/>
        </w:rPr>
        <w:t>L</w:t>
      </w:r>
      <w:r w:rsidRPr="00516C40">
        <w:rPr>
          <w:rFonts w:ascii="Times New Roman" w:hAnsi="Times New Roman" w:cs="Times New Roman"/>
          <w:sz w:val="24"/>
          <w:szCs w:val="24"/>
        </w:rPr>
        <w:t>ei</w:t>
      </w:r>
      <w:r w:rsidR="003647D5"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516C40">
        <w:rPr>
          <w:rFonts w:ascii="Times New Roman" w:hAnsi="Times New Roman" w:cs="Times New Roman"/>
          <w:sz w:val="24"/>
          <w:szCs w:val="24"/>
        </w:rPr>
        <w:t xml:space="preserve"> entra</w:t>
      </w:r>
      <w:r w:rsidR="007F610B">
        <w:rPr>
          <w:rFonts w:ascii="Times New Roman" w:hAnsi="Times New Roman" w:cs="Times New Roman"/>
          <w:sz w:val="24"/>
          <w:szCs w:val="24"/>
        </w:rPr>
        <w:t>rá</w:t>
      </w:r>
      <w:r w:rsidRPr="00516C40">
        <w:rPr>
          <w:rFonts w:ascii="Times New Roman" w:hAnsi="Times New Roman" w:cs="Times New Roman"/>
          <w:sz w:val="24"/>
          <w:szCs w:val="24"/>
        </w:rPr>
        <w:t xml:space="preserve"> em vigor </w:t>
      </w:r>
      <w:r w:rsidR="003647D5">
        <w:rPr>
          <w:rFonts w:ascii="Times New Roman" w:hAnsi="Times New Roman" w:cs="Times New Roman"/>
          <w:sz w:val="24"/>
          <w:szCs w:val="24"/>
        </w:rPr>
        <w:t xml:space="preserve">na data de </w:t>
      </w:r>
      <w:r w:rsidRPr="00516C40">
        <w:rPr>
          <w:rFonts w:ascii="Times New Roman" w:hAnsi="Times New Roman" w:cs="Times New Roman"/>
          <w:sz w:val="24"/>
          <w:szCs w:val="24"/>
        </w:rPr>
        <w:t>sua publicação</w:t>
      </w:r>
      <w:r w:rsidR="003647D5">
        <w:rPr>
          <w:rFonts w:ascii="Times New Roman" w:hAnsi="Times New Roman" w:cs="Times New Roman"/>
          <w:sz w:val="24"/>
          <w:szCs w:val="24"/>
        </w:rPr>
        <w:t>.</w:t>
      </w:r>
    </w:p>
    <w:p w14:paraId="76A1D64D" w14:textId="39A738AA" w:rsidR="00516C40" w:rsidRDefault="00516C40" w:rsidP="00E330A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3899C36" w14:textId="77777777" w:rsidR="007F610B" w:rsidRDefault="007F610B" w:rsidP="004B37FF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B8247AC" w14:textId="083E82EF" w:rsidR="00AA1360" w:rsidRDefault="008E638A" w:rsidP="004E2FB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Palácio Graccho Cardoso, Aracaju</w:t>
      </w:r>
      <w:r w:rsidR="00494161">
        <w:rPr>
          <w:sz w:val="24"/>
          <w:szCs w:val="24"/>
        </w:rPr>
        <w:t>/SE</w:t>
      </w:r>
      <w:r>
        <w:rPr>
          <w:sz w:val="24"/>
          <w:szCs w:val="24"/>
        </w:rPr>
        <w:t xml:space="preserve">, </w:t>
      </w:r>
      <w:r w:rsidR="00436284">
        <w:rPr>
          <w:sz w:val="24"/>
          <w:szCs w:val="24"/>
        </w:rPr>
        <w:t>21</w:t>
      </w:r>
      <w:r>
        <w:rPr>
          <w:sz w:val="24"/>
          <w:szCs w:val="24"/>
        </w:rPr>
        <w:t xml:space="preserve"> de </w:t>
      </w:r>
      <w:r w:rsidR="003647D5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</w:t>
      </w:r>
      <w:r w:rsidR="00516C40">
        <w:rPr>
          <w:sz w:val="24"/>
          <w:szCs w:val="24"/>
        </w:rPr>
        <w:t>3</w:t>
      </w:r>
      <w:r>
        <w:rPr>
          <w:sz w:val="24"/>
          <w:szCs w:val="24"/>
        </w:rPr>
        <w:t xml:space="preserve">.                      </w:t>
      </w:r>
    </w:p>
    <w:p w14:paraId="49968629" w14:textId="7C5375BD" w:rsidR="008C0CB2" w:rsidRDefault="00C76724" w:rsidP="004E2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255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28D8D37D" w14:textId="77777777" w:rsidR="007F610B" w:rsidRDefault="007F610B" w:rsidP="004E2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255"/>
        </w:tabs>
        <w:spacing w:line="276" w:lineRule="auto"/>
        <w:rPr>
          <w:color w:val="000000"/>
          <w:sz w:val="24"/>
          <w:szCs w:val="24"/>
        </w:rPr>
      </w:pPr>
    </w:p>
    <w:p w14:paraId="3096AB74" w14:textId="77777777" w:rsidR="00E330A2" w:rsidRPr="00C76724" w:rsidRDefault="00E330A2" w:rsidP="00E330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255"/>
        </w:tabs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C76724">
        <w:rPr>
          <w:b/>
          <w:bCs/>
          <w:color w:val="000000"/>
          <w:sz w:val="24"/>
          <w:szCs w:val="24"/>
        </w:rPr>
        <w:t>PROFESSOR BITTENCOURT</w:t>
      </w:r>
    </w:p>
    <w:p w14:paraId="454977C3" w14:textId="77777777" w:rsidR="00426473" w:rsidRDefault="00E330A2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C76724">
        <w:rPr>
          <w:b/>
          <w:bCs/>
          <w:sz w:val="24"/>
          <w:szCs w:val="24"/>
        </w:rPr>
        <w:t>V</w:t>
      </w:r>
      <w:r w:rsidRPr="00C76724">
        <w:rPr>
          <w:b/>
          <w:bCs/>
          <w:color w:val="000000"/>
          <w:sz w:val="24"/>
          <w:szCs w:val="24"/>
        </w:rPr>
        <w:t xml:space="preserve">ereador – </w:t>
      </w:r>
      <w:r w:rsidRPr="00E330A2">
        <w:rPr>
          <w:b/>
          <w:bCs/>
          <w:color w:val="000000"/>
          <w:sz w:val="24"/>
          <w:szCs w:val="24"/>
        </w:rPr>
        <w:t xml:space="preserve">Partido Democrático Trabalhista </w:t>
      </w:r>
      <w:r w:rsidRPr="00C76724">
        <w:rPr>
          <w:b/>
          <w:bCs/>
          <w:color w:val="000000"/>
          <w:sz w:val="24"/>
          <w:szCs w:val="24"/>
        </w:rPr>
        <w:t>(</w:t>
      </w:r>
      <w:r>
        <w:rPr>
          <w:b/>
          <w:bCs/>
          <w:color w:val="000000"/>
          <w:sz w:val="24"/>
          <w:szCs w:val="24"/>
        </w:rPr>
        <w:t>PDT</w:t>
      </w:r>
      <w:r w:rsidRPr="00C76724">
        <w:rPr>
          <w:b/>
          <w:bCs/>
          <w:color w:val="000000"/>
          <w:sz w:val="24"/>
          <w:szCs w:val="24"/>
        </w:rPr>
        <w:t>)</w:t>
      </w:r>
    </w:p>
    <w:p w14:paraId="24404269" w14:textId="77777777" w:rsidR="00426473" w:rsidRDefault="0042647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4523CBE3" w14:textId="2E844B0F" w:rsidR="00494161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JUSTIFICATIVA</w:t>
      </w:r>
    </w:p>
    <w:p w14:paraId="403A0140" w14:textId="60644A9D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4E9B2B41" w14:textId="27885268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 w:rsidRPr="00426473">
        <w:rPr>
          <w:color w:val="000000"/>
          <w:sz w:val="24"/>
          <w:szCs w:val="24"/>
        </w:rPr>
        <w:t>As imunidades</w:t>
      </w:r>
      <w:r>
        <w:rPr>
          <w:color w:val="000000"/>
          <w:sz w:val="24"/>
          <w:szCs w:val="24"/>
        </w:rPr>
        <w:t xml:space="preserve"> tributárias</w:t>
      </w:r>
      <w:r w:rsidRPr="0042647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possuem</w:t>
      </w:r>
      <w:r w:rsidRPr="00426473">
        <w:rPr>
          <w:color w:val="000000"/>
          <w:sz w:val="24"/>
          <w:szCs w:val="24"/>
        </w:rPr>
        <w:t xml:space="preserve"> natureza jurídica dúplice, na medida em que são, ao mesmo tempo, limitações constitucionais ao poder de tributar, restringindo o poder do Fisco de instituir tributos, e também garantias fundamentais do contribuinte.</w:t>
      </w:r>
    </w:p>
    <w:p w14:paraId="33CE2E15" w14:textId="6C5D547A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4125D1B0" w14:textId="0B09B91C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402"/>
        <w:jc w:val="both"/>
        <w:rPr>
          <w:color w:val="000000"/>
        </w:rPr>
      </w:pPr>
      <w:r w:rsidRPr="00426473">
        <w:rPr>
          <w:color w:val="000000"/>
        </w:rPr>
        <w:t>"As denominadas “limitações constitucionais ao poder de tributar” representam uma das primeiras esferas de restrição da intervenção estatal junto aos cidadãos. Com efeito, o financiamento do Estado por meio da tributação é coercitivo, o que torna absolutamente imprescindível a definição da extensão e da intensidade em que se autoriza a intervenção cogente da autoridade estatal. Os direitos e garantias constitucionais relativos à tributação cuidam exatamente de introduzir um núcleo essencial e incoercível de liberdades individuais a preservar em face da organização burocrática." (Gilmar Mendes e Gonet Branco</w:t>
      </w:r>
      <w:r w:rsidRPr="00426473">
        <w:rPr>
          <w:rStyle w:val="Refdenotaderodap"/>
          <w:color w:val="000000"/>
        </w:rPr>
        <w:footnoteReference w:id="1"/>
      </w:r>
      <w:r w:rsidRPr="00426473">
        <w:rPr>
          <w:color w:val="000000"/>
        </w:rPr>
        <w:t>)</w:t>
      </w:r>
    </w:p>
    <w:p w14:paraId="058F7A8E" w14:textId="77777777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18CC4BE5" w14:textId="1076CCCF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decorrência da natureza jurídica</w:t>
      </w:r>
      <w:r w:rsidRPr="00426473">
        <w:rPr>
          <w:color w:val="000000"/>
          <w:sz w:val="24"/>
          <w:szCs w:val="24"/>
        </w:rPr>
        <w:t xml:space="preserve"> que</w:t>
      </w:r>
      <w:r>
        <w:rPr>
          <w:color w:val="000000"/>
          <w:sz w:val="24"/>
          <w:szCs w:val="24"/>
        </w:rPr>
        <w:t xml:space="preserve"> gozam</w:t>
      </w:r>
      <w:r w:rsidRPr="00426473">
        <w:rPr>
          <w:color w:val="000000"/>
          <w:sz w:val="24"/>
          <w:szCs w:val="24"/>
        </w:rPr>
        <w:t xml:space="preserve"> as imunidades, Alexandre Mazza</w:t>
      </w:r>
      <w:r>
        <w:rPr>
          <w:rStyle w:val="Refdenotaderodap"/>
          <w:color w:val="000000"/>
          <w:sz w:val="24"/>
          <w:szCs w:val="24"/>
        </w:rPr>
        <w:footnoteReference w:id="2"/>
      </w:r>
      <w:r w:rsidRPr="00426473">
        <w:rPr>
          <w:color w:val="000000"/>
          <w:sz w:val="24"/>
          <w:szCs w:val="24"/>
        </w:rPr>
        <w:t xml:space="preserve"> aponta, entre outras, as seguintes consequências: as imunidades tributárias constituem cláusulas pétrea e devem ser invocadas em favor do contribuinte, e não em favor do Fisco.</w:t>
      </w:r>
    </w:p>
    <w:p w14:paraId="682AA548" w14:textId="033ADE85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decorre de tais fatos, compreende-se, s</w:t>
      </w:r>
      <w:r w:rsidRPr="00426473">
        <w:rPr>
          <w:color w:val="000000"/>
          <w:sz w:val="24"/>
          <w:szCs w:val="24"/>
        </w:rPr>
        <w:t>egundo as lições de Aliomar Baleeiro</w:t>
      </w:r>
      <w:r>
        <w:rPr>
          <w:rStyle w:val="Refdenotaderodap"/>
          <w:color w:val="000000"/>
          <w:sz w:val="24"/>
          <w:szCs w:val="24"/>
        </w:rPr>
        <w:footnoteReference w:id="3"/>
      </w:r>
      <w:r w:rsidRPr="00426473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que as </w:t>
      </w:r>
      <w:r w:rsidRPr="00426473">
        <w:rPr>
          <w:color w:val="000000"/>
          <w:sz w:val="24"/>
          <w:szCs w:val="24"/>
        </w:rPr>
        <w:t>“imunidades são vedações absolutas ao poder de tributar certas pessoas ou certos bens”.</w:t>
      </w:r>
    </w:p>
    <w:p w14:paraId="157F3692" w14:textId="389BD367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 w:rsidRPr="00426473">
        <w:rPr>
          <w:color w:val="000000"/>
          <w:sz w:val="24"/>
          <w:szCs w:val="24"/>
        </w:rPr>
        <w:t>Reunidos os elementos fundamentais integrantes dos conceitos doutrinários transcritos é possível identificar o seguinte denominador comum acerca da conceituação do instituto das imunidades tributárias: são normas contidas no texto da Constituição Federal que atuam limitando as regras de competência tributárias das entidades</w:t>
      </w:r>
      <w:r>
        <w:rPr>
          <w:color w:val="000000"/>
          <w:sz w:val="24"/>
          <w:szCs w:val="24"/>
        </w:rPr>
        <w:t xml:space="preserve"> </w:t>
      </w:r>
      <w:r w:rsidRPr="00426473">
        <w:rPr>
          <w:color w:val="000000"/>
          <w:sz w:val="24"/>
          <w:szCs w:val="24"/>
        </w:rPr>
        <w:t>federativas e afastam a possibilidade de instituição de tributos sobre determinados atos, fatos e pessoas.</w:t>
      </w:r>
    </w:p>
    <w:p w14:paraId="6814F9AC" w14:textId="3E2B9CAF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</w:t>
      </w:r>
      <w:r w:rsidR="007F610B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e cenário, destaca-se a imunidade tributária prevista na alínea “b” do inciso VI do art. 150 da Constituição Federal de 1988.</w:t>
      </w:r>
    </w:p>
    <w:p w14:paraId="31196CB6" w14:textId="376C4D59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71650B38" w14:textId="77777777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402"/>
        <w:jc w:val="both"/>
        <w:rPr>
          <w:color w:val="000000"/>
        </w:rPr>
      </w:pPr>
      <w:r w:rsidRPr="00426473">
        <w:rPr>
          <w:color w:val="000000"/>
        </w:rPr>
        <w:t>Art. 150. Sem prejuízo de outras garantias asseguradas ao contribuinte, é vedado à União, aos Estados, ao Distrito Federal e aos Municípios:</w:t>
      </w:r>
    </w:p>
    <w:p w14:paraId="4C6C5E13" w14:textId="77777777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402"/>
        <w:jc w:val="both"/>
        <w:rPr>
          <w:color w:val="000000"/>
        </w:rPr>
      </w:pPr>
      <w:r w:rsidRPr="00426473">
        <w:rPr>
          <w:color w:val="000000"/>
        </w:rPr>
        <w:t>[...]</w:t>
      </w:r>
    </w:p>
    <w:p w14:paraId="7461ED1E" w14:textId="77777777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402"/>
        <w:jc w:val="both"/>
        <w:rPr>
          <w:color w:val="000000"/>
        </w:rPr>
      </w:pPr>
      <w:r w:rsidRPr="00426473">
        <w:rPr>
          <w:color w:val="000000"/>
        </w:rPr>
        <w:t>VI - instituir impostos sobre:</w:t>
      </w:r>
    </w:p>
    <w:p w14:paraId="6BD29F84" w14:textId="77777777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402"/>
        <w:jc w:val="both"/>
        <w:rPr>
          <w:color w:val="000000"/>
        </w:rPr>
      </w:pPr>
      <w:r w:rsidRPr="00426473">
        <w:rPr>
          <w:color w:val="000000"/>
        </w:rPr>
        <w:t>[...]</w:t>
      </w:r>
    </w:p>
    <w:p w14:paraId="3141A2FD" w14:textId="0A3E8278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402"/>
        <w:jc w:val="both"/>
        <w:rPr>
          <w:color w:val="000000"/>
        </w:rPr>
      </w:pPr>
      <w:r w:rsidRPr="00426473">
        <w:rPr>
          <w:color w:val="000000"/>
        </w:rPr>
        <w:t>b) templos de qualquer culto;</w:t>
      </w:r>
    </w:p>
    <w:p w14:paraId="51785A12" w14:textId="3636FC7E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76815087" w14:textId="184E5746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tocante </w:t>
      </w:r>
      <w:r w:rsidR="007F610B">
        <w:rPr>
          <w:color w:val="000000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imunidade tributária concedida aos templos de qualquer culto, a CF aponta, ainda que: </w:t>
      </w:r>
    </w:p>
    <w:p w14:paraId="3A53D48D" w14:textId="441BD150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337044D6" w14:textId="77777777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402"/>
        <w:jc w:val="both"/>
        <w:rPr>
          <w:color w:val="000000"/>
        </w:rPr>
      </w:pPr>
      <w:r w:rsidRPr="00426473">
        <w:rPr>
          <w:color w:val="000000"/>
        </w:rPr>
        <w:lastRenderedPageBreak/>
        <w:t>Art. 156. Compete aos Municípios instituir impostos sobre:</w:t>
      </w:r>
    </w:p>
    <w:p w14:paraId="23A20BFB" w14:textId="77777777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402"/>
        <w:jc w:val="both"/>
        <w:rPr>
          <w:color w:val="000000"/>
        </w:rPr>
      </w:pPr>
      <w:r w:rsidRPr="00426473">
        <w:rPr>
          <w:color w:val="000000"/>
        </w:rPr>
        <w:t>I - propriedade predial e territorial urbana;</w:t>
      </w:r>
    </w:p>
    <w:p w14:paraId="7A39D4E8" w14:textId="46DD4A19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402"/>
        <w:jc w:val="both"/>
        <w:rPr>
          <w:color w:val="000000"/>
          <w:sz w:val="24"/>
          <w:szCs w:val="24"/>
        </w:rPr>
      </w:pPr>
      <w:r w:rsidRPr="00426473">
        <w:rPr>
          <w:color w:val="000000"/>
        </w:rPr>
        <w:t>§ 1º-A O imposto previsto no inciso I do caput deste artigo não incide sobre templos de qualquer culto, ainda que as entidades abrangidas pela imunidade de que trata a alínea "b" do inciso VI do caput do art. 150 desta Constituição sejam apenas locatárias do bem imóvel.</w:t>
      </w:r>
      <w:r w:rsidRPr="00426473">
        <w:rPr>
          <w:color w:val="000000"/>
          <w:sz w:val="24"/>
          <w:szCs w:val="24"/>
        </w:rPr>
        <w:t xml:space="preserve">  </w:t>
      </w:r>
    </w:p>
    <w:p w14:paraId="5DD0B10B" w14:textId="648F9D41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7490A83E" w14:textId="20DA2EF2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Sobre </w:t>
      </w:r>
      <w:r w:rsidRPr="00426473">
        <w:rPr>
          <w:color w:val="000000"/>
          <w:sz w:val="24"/>
          <w:szCs w:val="24"/>
        </w:rPr>
        <w:t xml:space="preserve">imunidade </w:t>
      </w:r>
      <w:r>
        <w:rPr>
          <w:color w:val="000000"/>
          <w:sz w:val="24"/>
          <w:szCs w:val="24"/>
        </w:rPr>
        <w:t xml:space="preserve">tributária </w:t>
      </w:r>
      <w:r w:rsidRPr="00426473">
        <w:rPr>
          <w:color w:val="000000"/>
          <w:sz w:val="24"/>
          <w:szCs w:val="24"/>
        </w:rPr>
        <w:t>religiosa</w:t>
      </w:r>
      <w:r>
        <w:rPr>
          <w:color w:val="000000"/>
          <w:sz w:val="24"/>
          <w:szCs w:val="24"/>
        </w:rPr>
        <w:t xml:space="preserve">, assim explica </w:t>
      </w:r>
      <w:r w:rsidRPr="00426473">
        <w:rPr>
          <w:color w:val="000000"/>
          <w:sz w:val="24"/>
          <w:szCs w:val="24"/>
        </w:rPr>
        <w:t>Alexandre Mazza</w:t>
      </w:r>
      <w:r>
        <w:rPr>
          <w:rStyle w:val="Refdenotaderodap"/>
          <w:color w:val="000000"/>
          <w:sz w:val="24"/>
          <w:szCs w:val="24"/>
        </w:rPr>
        <w:footnoteReference w:id="4"/>
      </w:r>
      <w:r>
        <w:rPr>
          <w:color w:val="000000"/>
          <w:sz w:val="24"/>
          <w:szCs w:val="24"/>
        </w:rPr>
        <w:t>:</w:t>
      </w:r>
    </w:p>
    <w:p w14:paraId="43DB2A44" w14:textId="49F15682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48D007C5" w14:textId="2A85AE50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402"/>
        <w:jc w:val="both"/>
        <w:rPr>
          <w:color w:val="000000"/>
        </w:rPr>
      </w:pPr>
      <w:r>
        <w:rPr>
          <w:color w:val="000000"/>
        </w:rPr>
        <w:t>“</w:t>
      </w:r>
      <w:r w:rsidRPr="00426473">
        <w:rPr>
          <w:color w:val="000000"/>
        </w:rPr>
        <w:t>Devido a uma tradição redacional mantida historicamente em todas as constituições brasileiras, o Texto de 1988 repetiu a fórmula segundo qual são imunes os “templos de qualquer culto”. Porém, o modo como a imunidade está enunciada pode sugerir que a imunidade em questão seria uma proteção objetiva somente sobre o templo, favorecendo a visão equivocada de que o benefício afastaria somente os impostos diretamente incidentes sobre o local onde são realizadas as atividades religiosas.</w:t>
      </w:r>
    </w:p>
    <w:p w14:paraId="4A9090F8" w14:textId="26CBC178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402"/>
        <w:jc w:val="both"/>
        <w:rPr>
          <w:color w:val="000000"/>
        </w:rPr>
      </w:pPr>
      <w:r w:rsidRPr="00426473">
        <w:rPr>
          <w:color w:val="000000"/>
        </w:rPr>
        <w:t>Mas na verdade, consoante entendimento unânime da doutrina e da jurisprudência, o art. 150, VI, b, da CF institui uma imunidade subjetiva estabelecida para beneficiar todas as instituições religiosas, afastando a incidência de quaisquer impostos sobre patrimônio, renda e serviços relacionados com suas atividades essenciais (art. 150, § 4º, da CF)</w:t>
      </w:r>
      <w:r>
        <w:rPr>
          <w:color w:val="000000"/>
        </w:rPr>
        <w:t>”</w:t>
      </w:r>
    </w:p>
    <w:p w14:paraId="1CE6FD49" w14:textId="77777777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458179FF" w14:textId="5DE53788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</w:t>
      </w:r>
      <w:r w:rsidR="007F610B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 modo, ainda que a CF (art. 19) vede à União, aos Estados, ao Distrito Federal e aos Municípios estabelecer </w:t>
      </w:r>
      <w:r w:rsidRPr="00426473">
        <w:rPr>
          <w:color w:val="000000"/>
          <w:sz w:val="24"/>
          <w:szCs w:val="24"/>
        </w:rPr>
        <w:t>cultos religiosos ou igrejas, subvencioná-</w:t>
      </w:r>
      <w:r>
        <w:rPr>
          <w:color w:val="000000"/>
          <w:sz w:val="24"/>
          <w:szCs w:val="24"/>
        </w:rPr>
        <w:t xml:space="preserve">los ou </w:t>
      </w:r>
      <w:r w:rsidRPr="00426473">
        <w:rPr>
          <w:color w:val="000000"/>
          <w:sz w:val="24"/>
          <w:szCs w:val="24"/>
        </w:rPr>
        <w:t>manter com eles ou seus representantes relações de dependência ou aliança</w:t>
      </w:r>
      <w:r>
        <w:rPr>
          <w:color w:val="000000"/>
          <w:sz w:val="24"/>
          <w:szCs w:val="24"/>
        </w:rPr>
        <w:t xml:space="preserve">, o Constituinte Originário estabeleceu </w:t>
      </w:r>
      <w:r w:rsidRPr="00426473">
        <w:rPr>
          <w:color w:val="000000"/>
          <w:sz w:val="24"/>
          <w:szCs w:val="24"/>
        </w:rPr>
        <w:t xml:space="preserve">a imunidade </w:t>
      </w:r>
      <w:r>
        <w:rPr>
          <w:color w:val="000000"/>
          <w:sz w:val="24"/>
          <w:szCs w:val="24"/>
        </w:rPr>
        <w:t xml:space="preserve">tributária </w:t>
      </w:r>
      <w:r w:rsidRPr="00426473">
        <w:rPr>
          <w:color w:val="000000"/>
          <w:sz w:val="24"/>
          <w:szCs w:val="24"/>
        </w:rPr>
        <w:t xml:space="preserve">religiosa </w:t>
      </w:r>
      <w:r>
        <w:rPr>
          <w:color w:val="000000"/>
          <w:sz w:val="24"/>
          <w:szCs w:val="24"/>
        </w:rPr>
        <w:t>como</w:t>
      </w:r>
      <w:r w:rsidRPr="00426473">
        <w:rPr>
          <w:color w:val="000000"/>
          <w:sz w:val="24"/>
          <w:szCs w:val="24"/>
        </w:rPr>
        <w:t xml:space="preserve"> um desdobramento de</w:t>
      </w:r>
      <w:r>
        <w:rPr>
          <w:color w:val="000000"/>
          <w:sz w:val="24"/>
          <w:szCs w:val="24"/>
        </w:rPr>
        <w:t xml:space="preserve"> </w:t>
      </w:r>
      <w:r w:rsidRPr="00426473">
        <w:rPr>
          <w:color w:val="000000"/>
          <w:sz w:val="24"/>
          <w:szCs w:val="24"/>
        </w:rPr>
        <w:t>normas constitucionais que estabelecem garantias fundamentais mais</w:t>
      </w:r>
      <w:r>
        <w:rPr>
          <w:color w:val="000000"/>
          <w:sz w:val="24"/>
          <w:szCs w:val="24"/>
        </w:rPr>
        <w:t xml:space="preserve"> </w:t>
      </w:r>
      <w:r w:rsidRPr="00426473">
        <w:rPr>
          <w:color w:val="000000"/>
          <w:sz w:val="24"/>
          <w:szCs w:val="24"/>
        </w:rPr>
        <w:t>amplas, como a liberdade de crença, o livre exercício de cultos religiosos e a</w:t>
      </w:r>
      <w:r>
        <w:rPr>
          <w:color w:val="000000"/>
          <w:sz w:val="24"/>
          <w:szCs w:val="24"/>
        </w:rPr>
        <w:t xml:space="preserve"> </w:t>
      </w:r>
      <w:r w:rsidRPr="00426473">
        <w:rPr>
          <w:color w:val="000000"/>
          <w:sz w:val="24"/>
          <w:szCs w:val="24"/>
        </w:rPr>
        <w:t>proteção aos locais de culto e liturgias</w:t>
      </w:r>
      <w:r>
        <w:rPr>
          <w:color w:val="000000"/>
          <w:sz w:val="24"/>
          <w:szCs w:val="24"/>
        </w:rPr>
        <w:t>.</w:t>
      </w:r>
    </w:p>
    <w:p w14:paraId="5F8026BE" w14:textId="379BF446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Nesse contexto, o Projeto de Lei apresentado tem como objetivo assegurar o efetivo exercício da </w:t>
      </w:r>
      <w:r w:rsidRPr="00426473">
        <w:rPr>
          <w:color w:val="000000"/>
          <w:sz w:val="24"/>
          <w:szCs w:val="24"/>
        </w:rPr>
        <w:t>imunidade tributária</w:t>
      </w:r>
      <w:r>
        <w:rPr>
          <w:color w:val="000000"/>
          <w:sz w:val="24"/>
          <w:szCs w:val="24"/>
        </w:rPr>
        <w:t xml:space="preserve"> religiosa por parte dos </w:t>
      </w:r>
      <w:r w:rsidRPr="00426473">
        <w:rPr>
          <w:color w:val="000000"/>
          <w:sz w:val="24"/>
          <w:szCs w:val="24"/>
        </w:rPr>
        <w:t>Povos e Comunidades de Terreiros</w:t>
      </w:r>
      <w:r>
        <w:rPr>
          <w:color w:val="000000"/>
          <w:sz w:val="24"/>
          <w:szCs w:val="24"/>
        </w:rPr>
        <w:t xml:space="preserve">. </w:t>
      </w:r>
    </w:p>
    <w:p w14:paraId="736E03A6" w14:textId="16DD7C10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tanto, torna-se de fundamental importância compreender que os </w:t>
      </w:r>
      <w:r w:rsidRPr="00426473">
        <w:rPr>
          <w:color w:val="000000"/>
          <w:sz w:val="24"/>
          <w:szCs w:val="24"/>
        </w:rPr>
        <w:t>Povos e Comunidades de Terreiros</w:t>
      </w:r>
      <w:r>
        <w:rPr>
          <w:color w:val="000000"/>
          <w:sz w:val="24"/>
          <w:szCs w:val="24"/>
        </w:rPr>
        <w:t xml:space="preserve">, classificados como </w:t>
      </w:r>
      <w:r w:rsidRPr="00426473">
        <w:rPr>
          <w:color w:val="000000"/>
          <w:sz w:val="24"/>
          <w:szCs w:val="24"/>
        </w:rPr>
        <w:t>como Povos e Comunidades Tradicionais</w:t>
      </w:r>
      <w:r>
        <w:rPr>
          <w:color w:val="000000"/>
          <w:sz w:val="24"/>
          <w:szCs w:val="24"/>
        </w:rPr>
        <w:t xml:space="preserve">, </w:t>
      </w:r>
      <w:r w:rsidRPr="00426473">
        <w:rPr>
          <w:color w:val="000000"/>
          <w:sz w:val="24"/>
          <w:szCs w:val="24"/>
        </w:rPr>
        <w:t>possuem formas próprias de organização socia</w:t>
      </w:r>
      <w:r>
        <w:rPr>
          <w:color w:val="000000"/>
          <w:sz w:val="24"/>
          <w:szCs w:val="24"/>
        </w:rPr>
        <w:t>l e por isso, via de regra, não se encontram inscritos</w:t>
      </w:r>
      <w:r w:rsidRPr="00426473">
        <w:rPr>
          <w:color w:val="000000"/>
          <w:sz w:val="24"/>
          <w:szCs w:val="24"/>
        </w:rPr>
        <w:t xml:space="preserve"> no Cadastro Nacional da Pessoa Jurídica</w:t>
      </w:r>
      <w:r>
        <w:rPr>
          <w:color w:val="000000"/>
          <w:sz w:val="24"/>
          <w:szCs w:val="24"/>
        </w:rPr>
        <w:t>.</w:t>
      </w:r>
    </w:p>
    <w:p w14:paraId="7099E227" w14:textId="1C8246CB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face </w:t>
      </w:r>
      <w:r w:rsidR="007F610B"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</w:rPr>
        <w:t xml:space="preserve"> tal cenário, torna-se indispensável a apresentação de tal proposta, na medida </w:t>
      </w:r>
      <w:r w:rsidR="007F610B">
        <w:rPr>
          <w:color w:val="000000"/>
          <w:sz w:val="24"/>
          <w:szCs w:val="24"/>
        </w:rPr>
        <w:t xml:space="preserve">em </w:t>
      </w:r>
      <w:r>
        <w:rPr>
          <w:color w:val="000000"/>
          <w:sz w:val="24"/>
          <w:szCs w:val="24"/>
        </w:rPr>
        <w:t xml:space="preserve">que busca permitir que os </w:t>
      </w:r>
      <w:r w:rsidRPr="00426473">
        <w:rPr>
          <w:color w:val="000000"/>
          <w:sz w:val="24"/>
          <w:szCs w:val="24"/>
        </w:rPr>
        <w:t>Povos e Comunidades de Terreiros</w:t>
      </w:r>
      <w:r>
        <w:rPr>
          <w:color w:val="000000"/>
          <w:sz w:val="24"/>
          <w:szCs w:val="24"/>
        </w:rPr>
        <w:t xml:space="preserve"> tenham acesso </w:t>
      </w:r>
      <w:r w:rsidR="007F610B">
        <w:rPr>
          <w:color w:val="000000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imunidade </w:t>
      </w:r>
      <w:r w:rsidRPr="00426473">
        <w:rPr>
          <w:color w:val="000000"/>
          <w:sz w:val="24"/>
          <w:szCs w:val="24"/>
        </w:rPr>
        <w:t>tributária</w:t>
      </w:r>
      <w:r>
        <w:rPr>
          <w:color w:val="000000"/>
          <w:sz w:val="24"/>
          <w:szCs w:val="24"/>
        </w:rPr>
        <w:t xml:space="preserve"> religiosa constitucional, ainda que não possuam CNPJ, por meio de requerimento dirigido ao Poder Público Municipal, quando este for instruído po</w:t>
      </w:r>
      <w:r w:rsidR="007F610B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provas que comprovem a natureza religiosa da comunidade requerente. </w:t>
      </w:r>
    </w:p>
    <w:p w14:paraId="6C049E99" w14:textId="0C4E78A5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respeito da competência legislativa municipal, deve-se observar que, além de competir aos Municípios, nos termos do inciso III do art. 30 da CF, </w:t>
      </w:r>
      <w:r w:rsidRPr="00426473">
        <w:rPr>
          <w:color w:val="000000"/>
          <w:sz w:val="24"/>
          <w:szCs w:val="24"/>
        </w:rPr>
        <w:t xml:space="preserve">instituir e arrecadar os tributos </w:t>
      </w:r>
      <w:r w:rsidRPr="00426473">
        <w:rPr>
          <w:color w:val="000000"/>
          <w:sz w:val="24"/>
          <w:szCs w:val="24"/>
        </w:rPr>
        <w:lastRenderedPageBreak/>
        <w:t>de sua competência</w:t>
      </w:r>
      <w:r>
        <w:rPr>
          <w:color w:val="000000"/>
          <w:sz w:val="24"/>
          <w:szCs w:val="24"/>
        </w:rPr>
        <w:t xml:space="preserve">, as entidades federativas municipais possuem o dever constitucional de garantir a eficácia das disposições constitucionais atinentes às imunidades tributárias, o que ocorre, prioritariamente, por meio da suplementação da legislação federal (art. 30, inciso II) e densificação normativa dos comandos constitucionais. </w:t>
      </w:r>
    </w:p>
    <w:p w14:paraId="3BA67799" w14:textId="689123D2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Ademais, deve-se ressaltar a plena e válida iniciativa parlamentar para proposituras deste jaez. O projeto em </w:t>
      </w:r>
      <w:r w:rsidR="007F610B">
        <w:rPr>
          <w:color w:val="000000"/>
          <w:sz w:val="24"/>
          <w:szCs w:val="24"/>
        </w:rPr>
        <w:t>questão</w:t>
      </w:r>
      <w:r>
        <w:rPr>
          <w:color w:val="000000"/>
          <w:sz w:val="24"/>
          <w:szCs w:val="24"/>
        </w:rPr>
        <w:t xml:space="preserve"> não dispõe sobre a organização administrativa do Poder Executivo Municipal, não altera ou impacta o regime jurídico dos servidores e, muito menos, altera o padrão remuneratório </w:t>
      </w:r>
      <w:r w:rsidR="007F610B">
        <w:rPr>
          <w:color w:val="000000"/>
          <w:sz w:val="24"/>
          <w:szCs w:val="24"/>
        </w:rPr>
        <w:t>desses</w:t>
      </w:r>
      <w:r>
        <w:rPr>
          <w:color w:val="000000"/>
          <w:sz w:val="24"/>
          <w:szCs w:val="24"/>
        </w:rPr>
        <w:t xml:space="preserve">. </w:t>
      </w:r>
    </w:p>
    <w:p w14:paraId="629B7A99" w14:textId="535BF2F0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Assim, considerando que, nos termos da jurisprudência do Supremo Tribunal Federal, “</w:t>
      </w:r>
      <w:r w:rsidRPr="00426473">
        <w:rPr>
          <w:color w:val="000000"/>
          <w:sz w:val="24"/>
          <w:szCs w:val="24"/>
        </w:rPr>
        <w:t>a regra da iniciativa reservada é exceção, sendo aplicável somente se prevista expressamente no texto, não se presumindo nem comportando interpretação ampliativa</w:t>
      </w:r>
      <w:r>
        <w:rPr>
          <w:color w:val="000000"/>
          <w:sz w:val="24"/>
          <w:szCs w:val="24"/>
        </w:rPr>
        <w:t>”</w:t>
      </w:r>
      <w:r w:rsidRPr="00426473">
        <w:rPr>
          <w:color w:val="000000"/>
          <w:sz w:val="24"/>
          <w:szCs w:val="24"/>
        </w:rPr>
        <w:t xml:space="preserve"> (ADI 724-6/RS, relator ministro Celso de Mello,</w:t>
      </w:r>
      <w:r>
        <w:rPr>
          <w:color w:val="000000"/>
          <w:sz w:val="24"/>
          <w:szCs w:val="24"/>
        </w:rPr>
        <w:t xml:space="preserve"> não nos deparamo</w:t>
      </w:r>
      <w:r w:rsidR="007F610B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com impedimentos constitucionais para que parlamentares apresentem proposituras que disponham sobre a matéria financeira-tributária. </w:t>
      </w:r>
    </w:p>
    <w:p w14:paraId="3D4EAF5D" w14:textId="14730E11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tal sentido são as lições de </w:t>
      </w:r>
      <w:r w:rsidRPr="00426473">
        <w:rPr>
          <w:color w:val="000000"/>
          <w:sz w:val="24"/>
          <w:szCs w:val="24"/>
        </w:rPr>
        <w:t>José Mauricio Conti</w:t>
      </w:r>
      <w:r>
        <w:rPr>
          <w:color w:val="000000"/>
          <w:sz w:val="24"/>
          <w:szCs w:val="24"/>
        </w:rPr>
        <w:t>, Professor de Direito Financeiro da Faculdade de Direito da Universidade de São Paulo, para quem a “</w:t>
      </w:r>
      <w:r w:rsidRPr="00426473">
        <w:rPr>
          <w:color w:val="000000"/>
          <w:sz w:val="24"/>
          <w:szCs w:val="24"/>
        </w:rPr>
        <w:t>suposta restrição à iniciativa legislativa em matéria financeira não está nem na lei, nem na jurisprudência</w:t>
      </w:r>
      <w:r>
        <w:rPr>
          <w:color w:val="000000"/>
          <w:sz w:val="24"/>
          <w:szCs w:val="24"/>
        </w:rPr>
        <w:t>”. O referido autor ressalta que “</w:t>
      </w:r>
      <w:r w:rsidRPr="00426473">
        <w:rPr>
          <w:color w:val="000000"/>
          <w:sz w:val="24"/>
          <w:szCs w:val="24"/>
        </w:rPr>
        <w:t>nossos parlamentares têm iniciativa para propor leis que disponham sobre matéria orçamentária (salvo, evidentemente, as leis orçamentárias – PPA, LDO e LOA), tributária</w:t>
      </w:r>
      <w:r>
        <w:rPr>
          <w:color w:val="000000"/>
          <w:sz w:val="24"/>
          <w:szCs w:val="24"/>
        </w:rPr>
        <w:t>”.</w:t>
      </w:r>
    </w:p>
    <w:p w14:paraId="01FC25C3" w14:textId="2137245A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Nesse </w:t>
      </w:r>
      <w:r w:rsidR="007F610B">
        <w:rPr>
          <w:color w:val="000000"/>
          <w:sz w:val="24"/>
          <w:szCs w:val="24"/>
        </w:rPr>
        <w:t>í</w:t>
      </w:r>
      <w:r>
        <w:rPr>
          <w:color w:val="000000"/>
          <w:sz w:val="24"/>
          <w:szCs w:val="24"/>
        </w:rPr>
        <w:t xml:space="preserve">nterim, deve-se observar que o referido tema </w:t>
      </w:r>
      <w:r w:rsidRPr="00426473">
        <w:rPr>
          <w:color w:val="000000"/>
          <w:sz w:val="24"/>
          <w:szCs w:val="24"/>
        </w:rPr>
        <w:t>já foi enfrentado em diversos julgados do Supremo Tribunal Federal e a jurisprudência da Corte é uníssona em negar a exigência de reserva de inciativa em matéria tributária, ainda que se cuide de lei que vise à minoração ou revogação de tributo</w:t>
      </w:r>
      <w:r>
        <w:rPr>
          <w:color w:val="000000"/>
          <w:sz w:val="24"/>
          <w:szCs w:val="24"/>
        </w:rPr>
        <w:t xml:space="preserve"> (</w:t>
      </w:r>
      <w:r w:rsidRPr="00426473">
        <w:rPr>
          <w:color w:val="000000"/>
          <w:sz w:val="24"/>
          <w:szCs w:val="24"/>
        </w:rPr>
        <w:t>ADI-MC 352 / RE 680608 AgR</w:t>
      </w:r>
      <w:r>
        <w:rPr>
          <w:color w:val="000000"/>
          <w:sz w:val="24"/>
          <w:szCs w:val="24"/>
        </w:rPr>
        <w:t xml:space="preserve"> / </w:t>
      </w:r>
      <w:r w:rsidRPr="00426473">
        <w:rPr>
          <w:color w:val="000000"/>
          <w:sz w:val="24"/>
          <w:szCs w:val="24"/>
        </w:rPr>
        <w:t>RE-ED 732.685</w:t>
      </w:r>
      <w:r>
        <w:rPr>
          <w:color w:val="000000"/>
          <w:sz w:val="24"/>
          <w:szCs w:val="24"/>
        </w:rPr>
        <w:t xml:space="preserve"> / </w:t>
      </w:r>
      <w:r w:rsidRPr="00426473">
        <w:rPr>
          <w:color w:val="000000"/>
          <w:sz w:val="24"/>
          <w:szCs w:val="24"/>
        </w:rPr>
        <w:t>ADI 3205/MS</w:t>
      </w:r>
      <w:r>
        <w:rPr>
          <w:color w:val="000000"/>
          <w:sz w:val="24"/>
          <w:szCs w:val="24"/>
        </w:rPr>
        <w:t>)</w:t>
      </w:r>
      <w:r w:rsidRPr="00426473">
        <w:rPr>
          <w:color w:val="000000"/>
          <w:sz w:val="24"/>
          <w:szCs w:val="24"/>
        </w:rPr>
        <w:t>.</w:t>
      </w:r>
    </w:p>
    <w:p w14:paraId="4FE28B18" w14:textId="31FB0CB2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 fim, deve-se observar que </w:t>
      </w:r>
      <w:r w:rsidR="007F610B">
        <w:rPr>
          <w:color w:val="000000"/>
          <w:sz w:val="24"/>
          <w:szCs w:val="24"/>
        </w:rPr>
        <w:t xml:space="preserve">esta </w:t>
      </w:r>
      <w:r>
        <w:rPr>
          <w:color w:val="000000"/>
          <w:sz w:val="24"/>
          <w:szCs w:val="24"/>
        </w:rPr>
        <w:t xml:space="preserve">propositura não tem o condão de conceder ou ampliar nenhum benefício fiscal, mas tão somente regulamentar, em âmbito municipal, o processo de solicitação da imunidade tributária constante na alínea “b” do inciso VI do art. 150 da Constituição Federal de 1988 e que proposições de tal envergadura já foram aprovadas por outros Parlamentos Municipais, a exemplo das cidades de </w:t>
      </w:r>
      <w:r w:rsidRPr="00426473">
        <w:rPr>
          <w:color w:val="000000"/>
          <w:sz w:val="24"/>
          <w:szCs w:val="24"/>
        </w:rPr>
        <w:t>Vitória da Conquista</w:t>
      </w:r>
      <w:r>
        <w:rPr>
          <w:color w:val="000000"/>
          <w:sz w:val="24"/>
          <w:szCs w:val="24"/>
        </w:rPr>
        <w:t xml:space="preserve"> (BA) e Salvador (BA).</w:t>
      </w:r>
    </w:p>
    <w:p w14:paraId="3C49E9E5" w14:textId="77777777" w:rsidR="00426473" w:rsidRDefault="00426473" w:rsidP="00426473">
      <w:pPr>
        <w:tabs>
          <w:tab w:val="left" w:pos="284"/>
        </w:tabs>
        <w:spacing w:line="276" w:lineRule="auto"/>
        <w:ind w:firstLine="1134"/>
        <w:jc w:val="both"/>
        <w:rPr>
          <w:sz w:val="24"/>
          <w:szCs w:val="24"/>
        </w:rPr>
      </w:pPr>
      <w:r w:rsidRPr="00787557">
        <w:rPr>
          <w:sz w:val="24"/>
          <w:szCs w:val="24"/>
        </w:rPr>
        <w:t>Diante do exposto e dada a importância do tema, solicito o apoio dos Nobres Pares p</w:t>
      </w:r>
      <w:r>
        <w:rPr>
          <w:sz w:val="24"/>
          <w:szCs w:val="24"/>
        </w:rPr>
        <w:t xml:space="preserve">ara a tramitação e aprovação desta </w:t>
      </w:r>
      <w:r w:rsidRPr="00787557">
        <w:rPr>
          <w:sz w:val="24"/>
          <w:szCs w:val="24"/>
        </w:rPr>
        <w:t>proposição.</w:t>
      </w:r>
    </w:p>
    <w:p w14:paraId="74760549" w14:textId="77777777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1134"/>
        <w:jc w:val="both"/>
        <w:rPr>
          <w:color w:val="000000"/>
          <w:sz w:val="24"/>
          <w:szCs w:val="24"/>
        </w:rPr>
      </w:pPr>
    </w:p>
    <w:p w14:paraId="2B2C815E" w14:textId="656BB8D4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</w:p>
    <w:p w14:paraId="0F9503EF" w14:textId="77777777" w:rsidR="00426473" w:rsidRPr="00C76724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255"/>
        </w:tabs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C76724">
        <w:rPr>
          <w:b/>
          <w:bCs/>
          <w:color w:val="000000"/>
          <w:sz w:val="24"/>
          <w:szCs w:val="24"/>
        </w:rPr>
        <w:t>PROFESSOR BITTENCOURT</w:t>
      </w:r>
    </w:p>
    <w:p w14:paraId="62C49DFF" w14:textId="77777777" w:rsid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C76724">
        <w:rPr>
          <w:b/>
          <w:bCs/>
          <w:sz w:val="24"/>
          <w:szCs w:val="24"/>
        </w:rPr>
        <w:t>V</w:t>
      </w:r>
      <w:r w:rsidRPr="00C76724">
        <w:rPr>
          <w:b/>
          <w:bCs/>
          <w:color w:val="000000"/>
          <w:sz w:val="24"/>
          <w:szCs w:val="24"/>
        </w:rPr>
        <w:t xml:space="preserve">ereador – </w:t>
      </w:r>
      <w:r w:rsidRPr="00E330A2">
        <w:rPr>
          <w:b/>
          <w:bCs/>
          <w:color w:val="000000"/>
          <w:sz w:val="24"/>
          <w:szCs w:val="24"/>
        </w:rPr>
        <w:t xml:space="preserve">Partido Democrático Trabalhista </w:t>
      </w:r>
      <w:r w:rsidRPr="00C76724">
        <w:rPr>
          <w:b/>
          <w:bCs/>
          <w:color w:val="000000"/>
          <w:sz w:val="24"/>
          <w:szCs w:val="24"/>
        </w:rPr>
        <w:t>(</w:t>
      </w:r>
      <w:r>
        <w:rPr>
          <w:b/>
          <w:bCs/>
          <w:color w:val="000000"/>
          <w:sz w:val="24"/>
          <w:szCs w:val="24"/>
        </w:rPr>
        <w:t>PDT</w:t>
      </w:r>
      <w:r w:rsidRPr="00C76724">
        <w:rPr>
          <w:b/>
          <w:bCs/>
          <w:color w:val="000000"/>
          <w:sz w:val="24"/>
          <w:szCs w:val="24"/>
        </w:rPr>
        <w:t>)</w:t>
      </w:r>
    </w:p>
    <w:p w14:paraId="709E9A5E" w14:textId="77777777" w:rsidR="00426473" w:rsidRPr="00426473" w:rsidRDefault="00426473" w:rsidP="00426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</w:p>
    <w:sectPr w:rsidR="00426473" w:rsidRPr="00426473">
      <w:headerReference w:type="default" r:id="rId8"/>
      <w:pgSz w:w="11907" w:h="16840"/>
      <w:pgMar w:top="1418" w:right="1185" w:bottom="1418" w:left="1276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DB29" w14:textId="77777777" w:rsidR="000A5E9B" w:rsidRDefault="000A5E9B">
      <w:r>
        <w:separator/>
      </w:r>
    </w:p>
  </w:endnote>
  <w:endnote w:type="continuationSeparator" w:id="0">
    <w:p w14:paraId="7D5668D0" w14:textId="77777777" w:rsidR="000A5E9B" w:rsidRDefault="000A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86F1" w14:textId="77777777" w:rsidR="000A5E9B" w:rsidRDefault="000A5E9B">
      <w:r>
        <w:separator/>
      </w:r>
    </w:p>
  </w:footnote>
  <w:footnote w:type="continuationSeparator" w:id="0">
    <w:p w14:paraId="05CFBBE6" w14:textId="77777777" w:rsidR="000A5E9B" w:rsidRDefault="000A5E9B">
      <w:r>
        <w:continuationSeparator/>
      </w:r>
    </w:p>
  </w:footnote>
  <w:footnote w:id="1">
    <w:p w14:paraId="0F0F21B2" w14:textId="77777777" w:rsidR="00426473" w:rsidRPr="00426473" w:rsidRDefault="00426473" w:rsidP="00426473">
      <w:pPr>
        <w:pStyle w:val="Textodenotaderodap"/>
        <w:rPr>
          <w:sz w:val="18"/>
          <w:szCs w:val="18"/>
        </w:rPr>
      </w:pPr>
      <w:r w:rsidRPr="00426473">
        <w:rPr>
          <w:rStyle w:val="Refdenotaderodap"/>
          <w:sz w:val="18"/>
          <w:szCs w:val="18"/>
        </w:rPr>
        <w:footnoteRef/>
      </w:r>
      <w:r w:rsidRPr="00426473">
        <w:rPr>
          <w:sz w:val="18"/>
          <w:szCs w:val="18"/>
        </w:rPr>
        <w:t xml:space="preserve"> MENDES, Gilmar Ferreira; BRANCO, Paulo Gustavo Gonet. Curso de direito constitucional. 13. ed. rev. e atual. – São Paulo: Saraiva Educação, 2018.</w:t>
      </w:r>
    </w:p>
  </w:footnote>
  <w:footnote w:id="2">
    <w:p w14:paraId="2853063F" w14:textId="5B998B7D" w:rsidR="00426473" w:rsidRPr="00426473" w:rsidRDefault="00426473">
      <w:pPr>
        <w:pStyle w:val="Textodenotaderodap"/>
        <w:rPr>
          <w:sz w:val="18"/>
          <w:szCs w:val="18"/>
        </w:rPr>
      </w:pPr>
      <w:r w:rsidRPr="00426473">
        <w:rPr>
          <w:rStyle w:val="Refdenotaderodap"/>
          <w:sz w:val="18"/>
          <w:szCs w:val="18"/>
        </w:rPr>
        <w:footnoteRef/>
      </w:r>
      <w:r w:rsidRPr="00426473">
        <w:rPr>
          <w:sz w:val="18"/>
          <w:szCs w:val="18"/>
        </w:rPr>
        <w:t xml:space="preserve"> MAZZA, Alexandre. Manual de direito tributário. 5. ed. São Paulo: Saraiva Educação, 2019.</w:t>
      </w:r>
    </w:p>
  </w:footnote>
  <w:footnote w:id="3">
    <w:p w14:paraId="6DC1B540" w14:textId="7B8C1B36" w:rsidR="00426473" w:rsidRPr="00426473" w:rsidRDefault="00426473">
      <w:pPr>
        <w:pStyle w:val="Textodenotaderodap"/>
        <w:rPr>
          <w:sz w:val="16"/>
          <w:szCs w:val="16"/>
        </w:rPr>
      </w:pPr>
      <w:r w:rsidRPr="00426473">
        <w:rPr>
          <w:rStyle w:val="Refdenotaderodap"/>
          <w:sz w:val="18"/>
          <w:szCs w:val="18"/>
        </w:rPr>
        <w:footnoteRef/>
      </w:r>
      <w:r w:rsidRPr="00426473">
        <w:rPr>
          <w:sz w:val="18"/>
          <w:szCs w:val="18"/>
        </w:rPr>
        <w:t xml:space="preserve"> BALEEIRO, Aliomar. Direito Tributário Brasileiro. 11. ed. Rio de Janeiro: GEN, 2010.</w:t>
      </w:r>
    </w:p>
  </w:footnote>
  <w:footnote w:id="4">
    <w:p w14:paraId="6D47BC4C" w14:textId="77777777" w:rsidR="00426473" w:rsidRPr="00426473" w:rsidRDefault="00426473" w:rsidP="00426473">
      <w:pPr>
        <w:pStyle w:val="Textodenotaderodap"/>
        <w:rPr>
          <w:sz w:val="18"/>
          <w:szCs w:val="18"/>
        </w:rPr>
      </w:pPr>
      <w:r w:rsidRPr="00426473">
        <w:rPr>
          <w:rStyle w:val="Refdenotaderodap"/>
          <w:sz w:val="18"/>
          <w:szCs w:val="18"/>
        </w:rPr>
        <w:footnoteRef/>
      </w:r>
      <w:r w:rsidRPr="00426473">
        <w:rPr>
          <w:sz w:val="18"/>
          <w:szCs w:val="18"/>
        </w:rPr>
        <w:t xml:space="preserve"> MAZZA, Alexandre. Manual de direito tributário. 5. ed. São Paulo: Saraiva Educação, 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5FEC" w14:textId="77777777" w:rsidR="00AA1360" w:rsidRDefault="008E6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790"/>
        <w:tab w:val="center" w:pos="4723"/>
      </w:tabs>
      <w:jc w:val="center"/>
      <w:rPr>
        <w:color w:val="000000"/>
      </w:rPr>
    </w:pPr>
    <w:bookmarkStart w:id="0" w:name="_gjdgxs" w:colFirst="0" w:colLast="0"/>
    <w:bookmarkEnd w:id="0"/>
    <w:r>
      <w:rPr>
        <w:noProof/>
        <w:color w:val="000000"/>
      </w:rPr>
      <w:drawing>
        <wp:inline distT="0" distB="0" distL="114300" distR="114300" wp14:anchorId="36E752B9" wp14:editId="7EB76973">
          <wp:extent cx="828000" cy="828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3EAB11" w14:textId="77777777" w:rsidR="00AA1360" w:rsidRPr="004E2FB7" w:rsidRDefault="008E6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Arial"/>
        <w:color w:val="000000"/>
      </w:rPr>
    </w:pPr>
    <w:r w:rsidRPr="004E2FB7">
      <w:rPr>
        <w:rFonts w:eastAsia="Arial"/>
        <w:b/>
        <w:color w:val="000000"/>
      </w:rPr>
      <w:t>ESTADO DE SERGIPE</w:t>
    </w:r>
  </w:p>
  <w:p w14:paraId="083565D9" w14:textId="66672D2A" w:rsidR="00AA1360" w:rsidRDefault="008E6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Arial"/>
        <w:b/>
        <w:color w:val="000000"/>
      </w:rPr>
    </w:pPr>
    <w:r w:rsidRPr="004E2FB7">
      <w:rPr>
        <w:rFonts w:eastAsia="Arial"/>
        <w:b/>
        <w:color w:val="000000"/>
      </w:rPr>
      <w:t>CÂMARA MUNICIPAL DE ARACAJU</w:t>
    </w:r>
  </w:p>
  <w:p w14:paraId="1F3C860B" w14:textId="3F6D7CC5" w:rsidR="00E330A2" w:rsidRPr="004E2FB7" w:rsidRDefault="00E330A2" w:rsidP="00E330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Arial"/>
        <w:b/>
        <w:color w:val="000000"/>
      </w:rPr>
    </w:pPr>
    <w:r w:rsidRPr="00E330A2">
      <w:rPr>
        <w:rFonts w:eastAsia="Arial"/>
        <w:b/>
        <w:color w:val="000000"/>
      </w:rPr>
      <w:t xml:space="preserve">GABINETE DO </w:t>
    </w:r>
    <w:r>
      <w:rPr>
        <w:rFonts w:eastAsia="Arial"/>
        <w:b/>
        <w:color w:val="000000"/>
      </w:rPr>
      <w:t xml:space="preserve">VEREADOR </w:t>
    </w:r>
    <w:r w:rsidRPr="00E330A2">
      <w:rPr>
        <w:rFonts w:eastAsia="Arial"/>
        <w:b/>
        <w:color w:val="000000"/>
      </w:rPr>
      <w:t>PROFESSOR BITTENCOURT</w:t>
    </w:r>
  </w:p>
  <w:p w14:paraId="6A9DDE7F" w14:textId="77777777" w:rsidR="00AA1360" w:rsidRPr="002C2AA7" w:rsidRDefault="00AA13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50A9B"/>
    <w:multiLevelType w:val="hybridMultilevel"/>
    <w:tmpl w:val="03F88BB2"/>
    <w:lvl w:ilvl="0" w:tplc="42F41F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60"/>
    <w:rsid w:val="000206E4"/>
    <w:rsid w:val="00033B3A"/>
    <w:rsid w:val="00042AED"/>
    <w:rsid w:val="0007720F"/>
    <w:rsid w:val="000A5E9B"/>
    <w:rsid w:val="000B644D"/>
    <w:rsid w:val="0016511A"/>
    <w:rsid w:val="00165BF4"/>
    <w:rsid w:val="00180029"/>
    <w:rsid w:val="001A186A"/>
    <w:rsid w:val="001B3718"/>
    <w:rsid w:val="001B3E6A"/>
    <w:rsid w:val="001F342C"/>
    <w:rsid w:val="001F5C01"/>
    <w:rsid w:val="002505BD"/>
    <w:rsid w:val="002613C4"/>
    <w:rsid w:val="00264425"/>
    <w:rsid w:val="002862F9"/>
    <w:rsid w:val="002B2AAE"/>
    <w:rsid w:val="002B3921"/>
    <w:rsid w:val="002C2AA7"/>
    <w:rsid w:val="00321165"/>
    <w:rsid w:val="003647D5"/>
    <w:rsid w:val="00391D45"/>
    <w:rsid w:val="003A4B10"/>
    <w:rsid w:val="003B0A38"/>
    <w:rsid w:val="003C305C"/>
    <w:rsid w:val="003C425A"/>
    <w:rsid w:val="003E2371"/>
    <w:rsid w:val="003F0CBB"/>
    <w:rsid w:val="003F1A13"/>
    <w:rsid w:val="00413F14"/>
    <w:rsid w:val="004220B9"/>
    <w:rsid w:val="00426473"/>
    <w:rsid w:val="00436284"/>
    <w:rsid w:val="004476F9"/>
    <w:rsid w:val="00455E10"/>
    <w:rsid w:val="00490D59"/>
    <w:rsid w:val="00494161"/>
    <w:rsid w:val="00495BBC"/>
    <w:rsid w:val="004B37FF"/>
    <w:rsid w:val="004B729C"/>
    <w:rsid w:val="004E2FB7"/>
    <w:rsid w:val="004E5CAE"/>
    <w:rsid w:val="004E6614"/>
    <w:rsid w:val="004F52CC"/>
    <w:rsid w:val="005056F1"/>
    <w:rsid w:val="00516C40"/>
    <w:rsid w:val="0054115B"/>
    <w:rsid w:val="0055626A"/>
    <w:rsid w:val="00582C2C"/>
    <w:rsid w:val="005B6C69"/>
    <w:rsid w:val="005C30DE"/>
    <w:rsid w:val="00604235"/>
    <w:rsid w:val="006909A0"/>
    <w:rsid w:val="006A1FAF"/>
    <w:rsid w:val="006C4145"/>
    <w:rsid w:val="00714BDE"/>
    <w:rsid w:val="0075753A"/>
    <w:rsid w:val="007758B7"/>
    <w:rsid w:val="007C2B5C"/>
    <w:rsid w:val="007F610B"/>
    <w:rsid w:val="00806E0F"/>
    <w:rsid w:val="00814217"/>
    <w:rsid w:val="00875BD9"/>
    <w:rsid w:val="00895C40"/>
    <w:rsid w:val="00897905"/>
    <w:rsid w:val="008B6263"/>
    <w:rsid w:val="008C0CB2"/>
    <w:rsid w:val="008C5139"/>
    <w:rsid w:val="008C76C7"/>
    <w:rsid w:val="008D4B17"/>
    <w:rsid w:val="008E638A"/>
    <w:rsid w:val="009165DF"/>
    <w:rsid w:val="00950F44"/>
    <w:rsid w:val="009677DC"/>
    <w:rsid w:val="00992E72"/>
    <w:rsid w:val="009E1B16"/>
    <w:rsid w:val="009E7676"/>
    <w:rsid w:val="00A051BF"/>
    <w:rsid w:val="00A805BE"/>
    <w:rsid w:val="00A8172B"/>
    <w:rsid w:val="00A81E2F"/>
    <w:rsid w:val="00AA1360"/>
    <w:rsid w:val="00B12C88"/>
    <w:rsid w:val="00B24A48"/>
    <w:rsid w:val="00B64E3D"/>
    <w:rsid w:val="00BA761F"/>
    <w:rsid w:val="00BB5A50"/>
    <w:rsid w:val="00BD2B12"/>
    <w:rsid w:val="00C46A93"/>
    <w:rsid w:val="00C63655"/>
    <w:rsid w:val="00C72AE4"/>
    <w:rsid w:val="00C76724"/>
    <w:rsid w:val="00C8794A"/>
    <w:rsid w:val="00CD06A5"/>
    <w:rsid w:val="00D132B2"/>
    <w:rsid w:val="00D26AF3"/>
    <w:rsid w:val="00D31AC9"/>
    <w:rsid w:val="00D46558"/>
    <w:rsid w:val="00D701AA"/>
    <w:rsid w:val="00D7387E"/>
    <w:rsid w:val="00D841F7"/>
    <w:rsid w:val="00D97913"/>
    <w:rsid w:val="00DC23DB"/>
    <w:rsid w:val="00DE25BF"/>
    <w:rsid w:val="00DF6161"/>
    <w:rsid w:val="00E220DB"/>
    <w:rsid w:val="00E32475"/>
    <w:rsid w:val="00E330A2"/>
    <w:rsid w:val="00EC724E"/>
    <w:rsid w:val="00F00102"/>
    <w:rsid w:val="00F62BD9"/>
    <w:rsid w:val="00F71A50"/>
    <w:rsid w:val="00F81BE7"/>
    <w:rsid w:val="00F92DF3"/>
    <w:rsid w:val="00FB3046"/>
    <w:rsid w:val="00FC62DD"/>
    <w:rsid w:val="00FD5D0D"/>
    <w:rsid w:val="00FD699E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902ED"/>
  <w15:docId w15:val="{D40C9064-37FD-4CF3-BB3C-C23FF2C2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A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A9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D5D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D31AC9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387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387E"/>
  </w:style>
  <w:style w:type="character" w:styleId="Refdenotaderodap">
    <w:name w:val="footnote reference"/>
    <w:basedOn w:val="Fontepargpadro"/>
    <w:uiPriority w:val="99"/>
    <w:semiHidden/>
    <w:unhideWhenUsed/>
    <w:rsid w:val="00D7387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767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724"/>
  </w:style>
  <w:style w:type="paragraph" w:styleId="Rodap">
    <w:name w:val="footer"/>
    <w:basedOn w:val="Normal"/>
    <w:link w:val="RodapChar"/>
    <w:uiPriority w:val="99"/>
    <w:unhideWhenUsed/>
    <w:rsid w:val="00C767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724"/>
  </w:style>
  <w:style w:type="character" w:styleId="Hyperlink">
    <w:name w:val="Hyperlink"/>
    <w:basedOn w:val="Fontepargpadro"/>
    <w:uiPriority w:val="99"/>
    <w:unhideWhenUsed/>
    <w:rsid w:val="003E237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2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9A57-9DDB-401C-A453-F7EC9E7F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1483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Fabrício Rosa</cp:lastModifiedBy>
  <cp:revision>26</cp:revision>
  <cp:lastPrinted>2022-03-01T00:20:00Z</cp:lastPrinted>
  <dcterms:created xsi:type="dcterms:W3CDTF">2021-10-14T04:05:00Z</dcterms:created>
  <dcterms:modified xsi:type="dcterms:W3CDTF">2023-03-20T20:29:00Z</dcterms:modified>
</cp:coreProperties>
</file>