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/2022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color w:val="202124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vazamento de água feita pelos frequentadores da Rua 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Geru, Bairro Centro, CEP 49010-460;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szqf43dkade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ppdkkkase8r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desconforto causado aos moradores e pessoas que trafegam na Região,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Carlos Fernandes de Melo Neto, Presidente da Companhia de Saneamento de Sergipe (Deso), para providenciar o serviço.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-247649</wp:posOffset>
            </wp:positionH>
            <wp:positionV relativeFrom="paragraph">
              <wp:posOffset>234330</wp:posOffset>
            </wp:positionV>
            <wp:extent cx="1737678" cy="42316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720"/>
        <w:jc w:val="left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25 de agosto de 2022.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75665156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08D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6708D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6708D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fJN/Psamdx2gOA6Eleev1KzIow==">AMUW2mWEBis37JjR2GgfzgMMqrIFjBlmswXzbMCXKL736wOfhEt9HHY9XpZkDMjOvqQhBbyCm5wB8H45YlHpsSU1AK8VSbIwm8gmLf/qSpCvUVSma8F/wuxtP+D0bFcbIX990CHDvxxkeHONHN8PUe79uilubcD//ndsyrSJe5dVCaqGtOyxgng=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2018-09-06T13:25:00Z</dcterms:created>
  <dc:creator>Yuri</dc:creator>
</cp:coreProperties>
</file>