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47" w:rsidRPr="009B2951" w:rsidRDefault="00931B47" w:rsidP="00931B47">
      <w:pPr>
        <w:spacing w:after="0" w:line="240" w:lineRule="auto"/>
        <w:rPr>
          <w:rFonts w:ascii="Arial" w:hAnsi="Arial" w:cs="Arial"/>
          <w:b/>
          <w:sz w:val="20"/>
          <w:szCs w:val="24"/>
        </w:rPr>
      </w:pPr>
    </w:p>
    <w:p w:rsidR="00931B47" w:rsidRDefault="00931B47" w:rsidP="00931B47">
      <w:pPr>
        <w:spacing w:after="0" w:line="240" w:lineRule="auto"/>
        <w:rPr>
          <w:rFonts w:ascii="Arial" w:hAnsi="Arial" w:cs="Arial"/>
          <w:b/>
          <w:sz w:val="24"/>
          <w:szCs w:val="24"/>
        </w:rPr>
      </w:pPr>
    </w:p>
    <w:p w:rsidR="00931B47" w:rsidRDefault="00931B47" w:rsidP="00931B47">
      <w:pPr>
        <w:tabs>
          <w:tab w:val="left" w:pos="5529"/>
        </w:tabs>
        <w:spacing w:after="0" w:line="240" w:lineRule="auto"/>
        <w:jc w:val="center"/>
        <w:rPr>
          <w:rFonts w:ascii="Arial" w:hAnsi="Arial" w:cs="Arial"/>
          <w:b/>
          <w:sz w:val="24"/>
          <w:szCs w:val="24"/>
        </w:rPr>
      </w:pPr>
      <w:r>
        <w:rPr>
          <w:rFonts w:ascii="Arial" w:hAnsi="Arial" w:cs="Arial"/>
          <w:b/>
          <w:sz w:val="24"/>
          <w:szCs w:val="24"/>
        </w:rPr>
        <w:t>PROJETO DE LEI Nº   /</w:t>
      </w:r>
      <w:r w:rsidR="00957F07">
        <w:rPr>
          <w:rFonts w:ascii="Arial" w:hAnsi="Arial" w:cs="Arial"/>
          <w:b/>
          <w:sz w:val="24"/>
          <w:szCs w:val="24"/>
        </w:rPr>
        <w:t>2022</w:t>
      </w:r>
    </w:p>
    <w:p w:rsidR="00931B47" w:rsidRPr="009B2951" w:rsidRDefault="00931B47" w:rsidP="00931B47">
      <w:pPr>
        <w:tabs>
          <w:tab w:val="left" w:pos="5529"/>
        </w:tabs>
        <w:spacing w:after="0" w:line="240" w:lineRule="auto"/>
        <w:jc w:val="center"/>
        <w:rPr>
          <w:rFonts w:ascii="Arial" w:hAnsi="Arial" w:cs="Arial"/>
          <w:b/>
          <w:sz w:val="20"/>
          <w:szCs w:val="24"/>
        </w:rPr>
      </w:pPr>
    </w:p>
    <w:p w:rsidR="00931B47" w:rsidRPr="009B2951" w:rsidRDefault="00931B47" w:rsidP="00931B47">
      <w:pPr>
        <w:tabs>
          <w:tab w:val="left" w:pos="5529"/>
        </w:tabs>
        <w:spacing w:after="0" w:line="240" w:lineRule="auto"/>
        <w:jc w:val="center"/>
        <w:rPr>
          <w:rFonts w:ascii="Arial" w:hAnsi="Arial" w:cs="Arial"/>
          <w:b/>
          <w:sz w:val="20"/>
          <w:szCs w:val="24"/>
        </w:rPr>
      </w:pPr>
    </w:p>
    <w:p w:rsidR="00931B47" w:rsidRPr="004A421A" w:rsidRDefault="00931B47" w:rsidP="00931B47">
      <w:pPr>
        <w:spacing w:after="0" w:line="240" w:lineRule="auto"/>
        <w:jc w:val="both"/>
        <w:rPr>
          <w:rFonts w:ascii="Arial" w:hAnsi="Arial" w:cs="Arial"/>
          <w:b/>
          <w:color w:val="000000" w:themeColor="text1"/>
          <w:sz w:val="24"/>
          <w:szCs w:val="24"/>
        </w:rPr>
      </w:pPr>
      <w:r>
        <w:rPr>
          <w:rFonts w:ascii="Arial" w:hAnsi="Arial" w:cs="Arial"/>
          <w:b/>
          <w:sz w:val="24"/>
          <w:szCs w:val="24"/>
        </w:rPr>
        <w:t xml:space="preserve">AUTORIA: </w:t>
      </w:r>
      <w:r w:rsidR="00957F07">
        <w:rPr>
          <w:rFonts w:ascii="Arial" w:hAnsi="Arial" w:cs="Arial"/>
          <w:b/>
          <w:sz w:val="24"/>
          <w:szCs w:val="24"/>
        </w:rPr>
        <w:t xml:space="preserve">Dra. </w:t>
      </w:r>
      <w:r>
        <w:rPr>
          <w:rFonts w:ascii="Arial" w:hAnsi="Arial" w:cs="Arial"/>
          <w:b/>
          <w:sz w:val="24"/>
          <w:szCs w:val="24"/>
        </w:rPr>
        <w:t>Emília Corrêa</w:t>
      </w:r>
    </w:p>
    <w:p w:rsidR="00931B47" w:rsidRPr="004A421A" w:rsidRDefault="00931B47" w:rsidP="00931B47">
      <w:pPr>
        <w:spacing w:after="0" w:line="240" w:lineRule="auto"/>
        <w:ind w:left="4608"/>
        <w:jc w:val="both"/>
        <w:rPr>
          <w:rFonts w:ascii="Arial" w:hAnsi="Arial" w:cs="Arial"/>
          <w:b/>
          <w:color w:val="000000" w:themeColor="text1"/>
          <w:sz w:val="24"/>
          <w:szCs w:val="24"/>
        </w:rPr>
      </w:pPr>
    </w:p>
    <w:p w:rsidR="00931B47" w:rsidRPr="00931B47" w:rsidRDefault="00931B47" w:rsidP="00931B47">
      <w:pPr>
        <w:shd w:val="clear" w:color="auto" w:fill="FFFFFF"/>
        <w:spacing w:after="0" w:line="240" w:lineRule="auto"/>
        <w:ind w:left="4395"/>
        <w:jc w:val="both"/>
        <w:rPr>
          <w:rFonts w:ascii="Arial" w:hAnsi="Arial" w:cs="Arial"/>
          <w:b/>
          <w:color w:val="000000" w:themeColor="text1"/>
          <w:sz w:val="24"/>
          <w:szCs w:val="24"/>
        </w:rPr>
      </w:pPr>
      <w:r w:rsidRPr="00931B47">
        <w:rPr>
          <w:rFonts w:ascii="Times New Roman" w:hAnsi="Times New Roman" w:cs="Times New Roman"/>
          <w:b/>
          <w:color w:val="000000" w:themeColor="text1"/>
          <w:sz w:val="24"/>
          <w:szCs w:val="24"/>
        </w:rPr>
        <w:t xml:space="preserve">MODIFICA O INCISO “IX” DO ART. 3º DA LEI Nº 2.459, DE 11 DE NOVEMBRO DE 1996 PARA </w:t>
      </w:r>
      <w:r w:rsidR="00957F07">
        <w:rPr>
          <w:rFonts w:ascii="Times New Roman" w:hAnsi="Times New Roman" w:cs="Times New Roman"/>
          <w:b/>
          <w:color w:val="000000" w:themeColor="text1"/>
          <w:sz w:val="24"/>
          <w:szCs w:val="24"/>
        </w:rPr>
        <w:t>REALIZAR, NO ÂMBITO DO PROCON MUNICIPAL, MEDIDAS DE</w:t>
      </w:r>
      <w:r w:rsidRPr="00931B47">
        <w:rPr>
          <w:rFonts w:ascii="Times New Roman" w:hAnsi="Times New Roman" w:cs="Times New Roman"/>
          <w:b/>
          <w:color w:val="000000" w:themeColor="text1"/>
          <w:sz w:val="24"/>
          <w:szCs w:val="24"/>
        </w:rPr>
        <w:t xml:space="preserve"> CONCILIAÇÃO, MEDIAÇÃO E ARBITRAGEM EM PARCERIA COM AS INSTITUIÇÕES DE ENSINO SUPERIOR DO CURSO DE DIREITO</w:t>
      </w:r>
      <w:r w:rsidRPr="00931B47">
        <w:rPr>
          <w:rFonts w:ascii="Arial" w:hAnsi="Arial" w:cs="Arial"/>
          <w:b/>
          <w:color w:val="000000" w:themeColor="text1"/>
          <w:sz w:val="24"/>
          <w:szCs w:val="24"/>
        </w:rPr>
        <w:t>.</w:t>
      </w:r>
    </w:p>
    <w:p w:rsidR="00931B47" w:rsidRPr="004A421A" w:rsidRDefault="00931B47" w:rsidP="00931B47">
      <w:pPr>
        <w:tabs>
          <w:tab w:val="left" w:pos="567"/>
        </w:tabs>
        <w:spacing w:after="0" w:line="240" w:lineRule="auto"/>
        <w:ind w:left="4608"/>
        <w:jc w:val="both"/>
        <w:rPr>
          <w:rFonts w:ascii="Arial" w:hAnsi="Arial" w:cs="Arial"/>
          <w:b/>
          <w:bCs/>
          <w:color w:val="000000" w:themeColor="text1"/>
          <w:sz w:val="24"/>
          <w:szCs w:val="24"/>
        </w:rPr>
      </w:pPr>
    </w:p>
    <w:p w:rsidR="00931B47" w:rsidRPr="009B2951" w:rsidRDefault="00931B47" w:rsidP="00931B47">
      <w:pPr>
        <w:spacing w:after="0" w:line="240" w:lineRule="auto"/>
        <w:ind w:left="4608"/>
        <w:jc w:val="both"/>
        <w:rPr>
          <w:b/>
          <w:bCs/>
          <w:sz w:val="16"/>
        </w:rPr>
      </w:pPr>
    </w:p>
    <w:p w:rsidR="00931B47" w:rsidRDefault="00931B47" w:rsidP="00931B47">
      <w:pPr>
        <w:spacing w:after="0" w:line="240" w:lineRule="auto"/>
        <w:jc w:val="both"/>
        <w:rPr>
          <w:rFonts w:ascii="Arial" w:hAnsi="Arial" w:cs="Arial"/>
          <w:b/>
          <w:sz w:val="24"/>
          <w:szCs w:val="24"/>
        </w:rPr>
      </w:pPr>
      <w:r>
        <w:rPr>
          <w:rFonts w:ascii="Arial" w:hAnsi="Arial" w:cs="Arial"/>
          <w:b/>
          <w:sz w:val="24"/>
          <w:szCs w:val="24"/>
        </w:rPr>
        <w:t>O PREFEITO DO MUNICÍPIO DE ARACAJU:</w:t>
      </w:r>
    </w:p>
    <w:p w:rsidR="00931B47" w:rsidRDefault="00931B47" w:rsidP="00931B47">
      <w:pPr>
        <w:spacing w:after="0" w:line="240" w:lineRule="auto"/>
        <w:jc w:val="both"/>
        <w:rPr>
          <w:rFonts w:ascii="Arial" w:hAnsi="Arial" w:cs="Arial"/>
          <w:color w:val="000000" w:themeColor="text1"/>
          <w:sz w:val="24"/>
          <w:szCs w:val="24"/>
        </w:rPr>
      </w:pPr>
    </w:p>
    <w:p w:rsidR="00931B47" w:rsidRDefault="00931B47" w:rsidP="00931B47">
      <w:pPr>
        <w:spacing w:after="0"/>
        <w:jc w:val="both"/>
        <w:rPr>
          <w:rFonts w:ascii="Arial" w:hAnsi="Arial" w:cs="Arial"/>
          <w:color w:val="000000" w:themeColor="text1"/>
          <w:sz w:val="24"/>
          <w:szCs w:val="24"/>
        </w:rPr>
      </w:pPr>
      <w:r w:rsidRPr="009B2951">
        <w:rPr>
          <w:rFonts w:ascii="Arial" w:hAnsi="Arial" w:cs="Arial"/>
          <w:color w:val="000000" w:themeColor="text1"/>
          <w:sz w:val="24"/>
          <w:szCs w:val="24"/>
        </w:rPr>
        <w:t>Faz saber que a Câmara Municipal de Aracaju aprovou</w:t>
      </w:r>
      <w:r>
        <w:rPr>
          <w:rFonts w:ascii="Arial" w:hAnsi="Arial" w:cs="Arial"/>
          <w:color w:val="000000" w:themeColor="text1"/>
          <w:sz w:val="24"/>
          <w:szCs w:val="24"/>
        </w:rPr>
        <w:t>,</w:t>
      </w:r>
      <w:r w:rsidRPr="009B2951">
        <w:rPr>
          <w:rFonts w:ascii="Arial" w:hAnsi="Arial" w:cs="Arial"/>
          <w:color w:val="000000" w:themeColor="text1"/>
          <w:sz w:val="24"/>
          <w:szCs w:val="24"/>
        </w:rPr>
        <w:t xml:space="preserve"> e ele sanciona a seguinte lei:</w:t>
      </w:r>
    </w:p>
    <w:p w:rsidR="00931B47" w:rsidRPr="00CC7955" w:rsidRDefault="00931B47" w:rsidP="00931B47">
      <w:pPr>
        <w:spacing w:after="0"/>
        <w:jc w:val="both"/>
        <w:rPr>
          <w:rFonts w:ascii="Arial" w:hAnsi="Arial" w:cs="Arial"/>
          <w:color w:val="000000" w:themeColor="text1"/>
          <w:sz w:val="24"/>
          <w:szCs w:val="24"/>
        </w:rPr>
      </w:pPr>
    </w:p>
    <w:p w:rsidR="00931B47" w:rsidRDefault="00931B47" w:rsidP="00931B47">
      <w:pPr>
        <w:spacing w:after="0"/>
        <w:jc w:val="both"/>
        <w:rPr>
          <w:rFonts w:ascii="Arial" w:eastAsia="Times New Roman" w:hAnsi="Arial" w:cs="Arial"/>
          <w:color w:val="000000" w:themeColor="text1"/>
          <w:sz w:val="24"/>
          <w:szCs w:val="24"/>
        </w:rPr>
      </w:pPr>
      <w:r w:rsidRPr="00CC7955">
        <w:rPr>
          <w:rFonts w:ascii="Arial" w:eastAsia="Times New Roman" w:hAnsi="Arial" w:cs="Arial"/>
          <w:b/>
          <w:bCs/>
          <w:color w:val="000000" w:themeColor="text1"/>
          <w:sz w:val="24"/>
          <w:szCs w:val="24"/>
        </w:rPr>
        <w:t>Art. 1º</w:t>
      </w:r>
      <w:r>
        <w:rPr>
          <w:rFonts w:ascii="Arial" w:eastAsia="Times New Roman" w:hAnsi="Arial" w:cs="Arial"/>
          <w:b/>
          <w:bCs/>
          <w:color w:val="000000" w:themeColor="text1"/>
          <w:sz w:val="24"/>
          <w:szCs w:val="24"/>
        </w:rPr>
        <w:t>.</w:t>
      </w:r>
      <w:r w:rsidRPr="00CC7955">
        <w:rPr>
          <w:rFonts w:ascii="Arial" w:eastAsia="Times New Roman" w:hAnsi="Arial" w:cs="Arial"/>
          <w:color w:val="000000" w:themeColor="text1"/>
          <w:sz w:val="24"/>
          <w:szCs w:val="24"/>
        </w:rPr>
        <w:t> </w:t>
      </w:r>
      <w:r>
        <w:rPr>
          <w:rFonts w:ascii="Arial" w:eastAsia="Times New Roman" w:hAnsi="Arial" w:cs="Arial"/>
          <w:color w:val="000000" w:themeColor="text1"/>
          <w:sz w:val="24"/>
          <w:szCs w:val="24"/>
        </w:rPr>
        <w:t>O inciso “X” do art. 3º da Lei nº 2.459/1996 passará a ter a seguinte redação:</w:t>
      </w:r>
    </w:p>
    <w:p w:rsidR="00931B47" w:rsidRDefault="00931B47" w:rsidP="00931B47">
      <w:pPr>
        <w:spacing w:after="0"/>
        <w:jc w:val="both"/>
        <w:rPr>
          <w:rFonts w:ascii="Arial" w:eastAsia="Times New Roman" w:hAnsi="Arial" w:cs="Arial"/>
          <w:color w:val="000000" w:themeColor="text1"/>
          <w:sz w:val="24"/>
          <w:szCs w:val="24"/>
        </w:rPr>
      </w:pPr>
    </w:p>
    <w:p w:rsidR="00931B47" w:rsidRDefault="00931B47" w:rsidP="00931B47">
      <w:pPr>
        <w:spacing w:after="0"/>
        <w:jc w:val="both"/>
        <w:rPr>
          <w:rFonts w:ascii="Arial" w:eastAsia="Times New Roman" w:hAnsi="Arial" w:cs="Arial"/>
          <w:b/>
          <w:bCs/>
          <w:color w:val="000000" w:themeColor="text1"/>
          <w:sz w:val="24"/>
          <w:szCs w:val="24"/>
        </w:rPr>
      </w:pPr>
      <w:r w:rsidRPr="00C55164">
        <w:rPr>
          <w:rFonts w:ascii="Arial" w:eastAsia="Times New Roman" w:hAnsi="Arial" w:cs="Arial"/>
          <w:b/>
          <w:color w:val="000000" w:themeColor="text1"/>
          <w:sz w:val="24"/>
          <w:szCs w:val="24"/>
        </w:rPr>
        <w:t>“</w:t>
      </w:r>
      <w:r w:rsidRPr="00CC7955">
        <w:rPr>
          <w:rFonts w:ascii="Arial" w:eastAsia="Times New Roman" w:hAnsi="Arial" w:cs="Arial"/>
          <w:b/>
          <w:bCs/>
          <w:color w:val="000000" w:themeColor="text1"/>
          <w:sz w:val="24"/>
          <w:szCs w:val="24"/>
        </w:rPr>
        <w:t xml:space="preserve">Art. </w:t>
      </w:r>
      <w:r>
        <w:rPr>
          <w:rFonts w:ascii="Arial" w:eastAsia="Times New Roman" w:hAnsi="Arial" w:cs="Arial"/>
          <w:b/>
          <w:bCs/>
          <w:color w:val="000000" w:themeColor="text1"/>
          <w:sz w:val="24"/>
          <w:szCs w:val="24"/>
        </w:rPr>
        <w:t>3</w:t>
      </w:r>
      <w:r w:rsidRPr="00CC7955">
        <w:rPr>
          <w:rFonts w:ascii="Arial" w:eastAsia="Times New Roman" w:hAnsi="Arial" w:cs="Arial"/>
          <w:b/>
          <w:bCs/>
          <w:color w:val="000000" w:themeColor="text1"/>
          <w:sz w:val="24"/>
          <w:szCs w:val="24"/>
        </w:rPr>
        <w:t>º</w:t>
      </w:r>
      <w:r>
        <w:rPr>
          <w:rFonts w:ascii="Arial" w:eastAsia="Times New Roman" w:hAnsi="Arial" w:cs="Arial"/>
          <w:b/>
          <w:bCs/>
          <w:color w:val="000000" w:themeColor="text1"/>
          <w:sz w:val="24"/>
          <w:szCs w:val="24"/>
        </w:rPr>
        <w:t>...</w:t>
      </w:r>
    </w:p>
    <w:p w:rsidR="00931B47" w:rsidRDefault="00931B47" w:rsidP="00931B47">
      <w:pPr>
        <w:spacing w:after="0"/>
        <w:jc w:val="both"/>
        <w:rPr>
          <w:rFonts w:ascii="Arial" w:eastAsia="Times New Roman" w:hAnsi="Arial" w:cs="Arial"/>
          <w:color w:val="000000" w:themeColor="text1"/>
          <w:sz w:val="24"/>
          <w:szCs w:val="24"/>
        </w:rPr>
      </w:pPr>
      <w:r w:rsidRPr="00CC7955">
        <w:rPr>
          <w:rFonts w:ascii="Arial" w:eastAsia="Times New Roman" w:hAnsi="Arial" w:cs="Arial"/>
          <w:color w:val="000000" w:themeColor="text1"/>
          <w:sz w:val="24"/>
          <w:szCs w:val="24"/>
        </w:rPr>
        <w:t> </w:t>
      </w:r>
    </w:p>
    <w:p w:rsidR="00931B47" w:rsidRDefault="00931B47" w:rsidP="00931B47">
      <w:pPr>
        <w:spacing w:after="0"/>
        <w:jc w:val="both"/>
        <w:rPr>
          <w:rFonts w:ascii="Arial" w:hAnsi="Arial" w:cs="Arial"/>
          <w:b/>
          <w:color w:val="000000" w:themeColor="text1"/>
          <w:sz w:val="24"/>
          <w:szCs w:val="24"/>
        </w:rPr>
      </w:pPr>
      <w:r w:rsidRPr="00C55164">
        <w:rPr>
          <w:rFonts w:ascii="Arial" w:hAnsi="Arial" w:cs="Arial"/>
          <w:b/>
          <w:color w:val="000000" w:themeColor="text1"/>
          <w:sz w:val="24"/>
          <w:szCs w:val="24"/>
        </w:rPr>
        <w:t>...</w:t>
      </w:r>
    </w:p>
    <w:p w:rsidR="00931B47" w:rsidRPr="00C55164" w:rsidRDefault="00931B47" w:rsidP="00931B47">
      <w:pPr>
        <w:spacing w:after="0"/>
        <w:jc w:val="both"/>
        <w:rPr>
          <w:rFonts w:ascii="Arial" w:hAnsi="Arial" w:cs="Arial"/>
          <w:b/>
          <w:color w:val="000000" w:themeColor="text1"/>
          <w:sz w:val="24"/>
          <w:szCs w:val="24"/>
        </w:rPr>
      </w:pPr>
    </w:p>
    <w:p w:rsidR="00931B47" w:rsidRDefault="00931B47" w:rsidP="00931B47">
      <w:pPr>
        <w:tabs>
          <w:tab w:val="left" w:pos="709"/>
        </w:tabs>
        <w:spacing w:after="0"/>
        <w:ind w:left="567"/>
        <w:jc w:val="both"/>
        <w:rPr>
          <w:rFonts w:ascii="Arial" w:eastAsia="Times New Roman" w:hAnsi="Arial" w:cs="Arial"/>
          <w:color w:val="000000" w:themeColor="text1"/>
          <w:sz w:val="24"/>
          <w:szCs w:val="27"/>
        </w:rPr>
      </w:pPr>
      <w:r>
        <w:rPr>
          <w:rFonts w:ascii="Arial" w:eastAsia="Times New Roman" w:hAnsi="Arial" w:cs="Arial"/>
          <w:b/>
          <w:color w:val="000000" w:themeColor="text1"/>
          <w:sz w:val="24"/>
          <w:szCs w:val="27"/>
        </w:rPr>
        <w:t xml:space="preserve">X – </w:t>
      </w:r>
      <w:r>
        <w:rPr>
          <w:rFonts w:ascii="Arial" w:eastAsia="Times New Roman" w:hAnsi="Arial" w:cs="Arial"/>
          <w:color w:val="000000" w:themeColor="text1"/>
          <w:sz w:val="24"/>
          <w:szCs w:val="27"/>
        </w:rPr>
        <w:t xml:space="preserve">Incentivo a celebração de convenções coletivas de consumo, nos termos do art. 107 da Lei Federal nº 8.078/90, </w:t>
      </w:r>
      <w:r w:rsidRPr="009E2F7E">
        <w:rPr>
          <w:rFonts w:ascii="Arial" w:eastAsia="Times New Roman" w:hAnsi="Arial" w:cs="Arial"/>
          <w:b/>
          <w:color w:val="000000" w:themeColor="text1"/>
          <w:sz w:val="24"/>
          <w:szCs w:val="27"/>
        </w:rPr>
        <w:t>inclusive, por meio de centrais de conciliação, mediação e arbitragem, em convênio ou parceria, com instituições de ensino superior do curso de Direito e demais instituições que promovam a resolução alternativa para os conflitos da relação de consumo.”</w:t>
      </w:r>
    </w:p>
    <w:p w:rsidR="00931B47" w:rsidRPr="00C55164" w:rsidRDefault="00931B47" w:rsidP="00931B47">
      <w:pPr>
        <w:spacing w:after="0"/>
        <w:jc w:val="both"/>
        <w:rPr>
          <w:rFonts w:ascii="Arial" w:eastAsia="Times New Roman" w:hAnsi="Arial" w:cs="Arial"/>
          <w:color w:val="000000" w:themeColor="text1"/>
          <w:sz w:val="24"/>
          <w:szCs w:val="27"/>
        </w:rPr>
      </w:pPr>
    </w:p>
    <w:p w:rsidR="00931B47" w:rsidRPr="00E0271F" w:rsidRDefault="00931B47" w:rsidP="00931B47">
      <w:pPr>
        <w:spacing w:after="0"/>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7"/>
        </w:rPr>
        <w:t>Art. 2</w:t>
      </w:r>
      <w:r w:rsidRPr="004E7E95">
        <w:rPr>
          <w:rFonts w:ascii="Arial" w:eastAsia="Times New Roman" w:hAnsi="Arial" w:cs="Arial"/>
          <w:b/>
          <w:color w:val="000000" w:themeColor="text1"/>
          <w:sz w:val="24"/>
          <w:szCs w:val="27"/>
        </w:rPr>
        <w:t>º.</w:t>
      </w:r>
      <w:r w:rsidRPr="00E0271F">
        <w:rPr>
          <w:rFonts w:ascii="Arial" w:eastAsia="Times New Roman" w:hAnsi="Arial" w:cs="Arial"/>
          <w:color w:val="000000" w:themeColor="text1"/>
          <w:sz w:val="24"/>
          <w:szCs w:val="27"/>
        </w:rPr>
        <w:t> </w:t>
      </w:r>
      <w:r w:rsidRPr="00E0271F">
        <w:rPr>
          <w:rFonts w:ascii="Arial" w:eastAsia="Times New Roman" w:hAnsi="Arial" w:cs="Arial"/>
          <w:color w:val="000000" w:themeColor="text1"/>
          <w:sz w:val="24"/>
          <w:szCs w:val="24"/>
        </w:rPr>
        <w:t xml:space="preserve">Esta </w:t>
      </w:r>
      <w:r>
        <w:rPr>
          <w:rFonts w:ascii="Arial" w:eastAsia="Times New Roman" w:hAnsi="Arial" w:cs="Arial"/>
          <w:color w:val="000000" w:themeColor="text1"/>
          <w:sz w:val="24"/>
          <w:szCs w:val="24"/>
        </w:rPr>
        <w:t>emenda</w:t>
      </w:r>
      <w:r w:rsidRPr="00E0271F">
        <w:rPr>
          <w:rFonts w:ascii="Arial" w:eastAsia="Times New Roman" w:hAnsi="Arial" w:cs="Arial"/>
          <w:color w:val="000000" w:themeColor="text1"/>
          <w:sz w:val="24"/>
          <w:szCs w:val="24"/>
        </w:rPr>
        <w:t xml:space="preserve"> entra</w:t>
      </w:r>
      <w:r>
        <w:rPr>
          <w:rFonts w:ascii="Arial" w:eastAsia="Times New Roman" w:hAnsi="Arial" w:cs="Arial"/>
          <w:color w:val="000000" w:themeColor="text1"/>
          <w:sz w:val="24"/>
          <w:szCs w:val="24"/>
        </w:rPr>
        <w:t>rá</w:t>
      </w:r>
      <w:r w:rsidRPr="00E0271F">
        <w:rPr>
          <w:rFonts w:ascii="Arial" w:eastAsia="Times New Roman" w:hAnsi="Arial" w:cs="Arial"/>
          <w:color w:val="000000" w:themeColor="text1"/>
          <w:sz w:val="24"/>
          <w:szCs w:val="24"/>
        </w:rPr>
        <w:t xml:space="preserve"> em vigor </w:t>
      </w:r>
      <w:r w:rsidRPr="00CC7955">
        <w:rPr>
          <w:rFonts w:ascii="Arial" w:eastAsia="Times New Roman" w:hAnsi="Arial" w:cs="Arial"/>
          <w:color w:val="000000" w:themeColor="text1"/>
          <w:sz w:val="24"/>
          <w:szCs w:val="24"/>
        </w:rPr>
        <w:t>na</w:t>
      </w:r>
      <w:r w:rsidRPr="00E0271F">
        <w:rPr>
          <w:rFonts w:ascii="Arial" w:eastAsia="Times New Roman" w:hAnsi="Arial" w:cs="Arial"/>
          <w:color w:val="000000" w:themeColor="text1"/>
          <w:sz w:val="24"/>
          <w:szCs w:val="24"/>
        </w:rPr>
        <w:t xml:space="preserve"> data de sua publicação.</w:t>
      </w:r>
    </w:p>
    <w:p w:rsidR="00931B47" w:rsidRDefault="00931B47" w:rsidP="00931B47">
      <w:pPr>
        <w:spacing w:after="0"/>
        <w:jc w:val="both"/>
        <w:rPr>
          <w:rFonts w:ascii="Arial" w:hAnsi="Arial" w:cs="Arial"/>
          <w:color w:val="000000" w:themeColor="text1"/>
          <w:sz w:val="24"/>
        </w:rPr>
      </w:pPr>
    </w:p>
    <w:p w:rsidR="00931B47" w:rsidRPr="00CC7955" w:rsidRDefault="00931B47" w:rsidP="00931B47">
      <w:pPr>
        <w:spacing w:after="0"/>
        <w:jc w:val="both"/>
        <w:rPr>
          <w:rFonts w:ascii="Arial" w:hAnsi="Arial" w:cs="Arial"/>
          <w:color w:val="000000" w:themeColor="text1"/>
          <w:sz w:val="24"/>
        </w:rPr>
      </w:pPr>
    </w:p>
    <w:p w:rsidR="00931B47" w:rsidRPr="00CC7955" w:rsidRDefault="00931B47" w:rsidP="00931B47">
      <w:pPr>
        <w:spacing w:after="0"/>
        <w:jc w:val="both"/>
        <w:rPr>
          <w:rFonts w:ascii="Arial" w:hAnsi="Arial" w:cs="Arial"/>
          <w:color w:val="000000" w:themeColor="text1"/>
          <w:sz w:val="24"/>
          <w:szCs w:val="24"/>
        </w:rPr>
      </w:pPr>
      <w:r w:rsidRPr="00CC7955">
        <w:rPr>
          <w:rFonts w:ascii="Arial" w:hAnsi="Arial" w:cs="Arial"/>
          <w:color w:val="000000" w:themeColor="text1"/>
          <w:sz w:val="24"/>
          <w:szCs w:val="24"/>
        </w:rPr>
        <w:t xml:space="preserve">Palácio Graccho Cardoso, Aracaju, </w:t>
      </w:r>
      <w:r w:rsidR="00C10EBF">
        <w:rPr>
          <w:rFonts w:ascii="Arial" w:hAnsi="Arial" w:cs="Arial"/>
          <w:color w:val="000000" w:themeColor="text1"/>
          <w:sz w:val="24"/>
          <w:szCs w:val="24"/>
        </w:rPr>
        <w:t>10</w:t>
      </w:r>
      <w:r w:rsidRPr="00CC7955">
        <w:rPr>
          <w:rFonts w:ascii="Arial" w:hAnsi="Arial" w:cs="Arial"/>
          <w:color w:val="000000" w:themeColor="text1"/>
          <w:sz w:val="24"/>
          <w:szCs w:val="24"/>
        </w:rPr>
        <w:t xml:space="preserve"> de </w:t>
      </w:r>
      <w:r w:rsidR="00C10EBF">
        <w:rPr>
          <w:rFonts w:ascii="Arial" w:hAnsi="Arial" w:cs="Arial"/>
          <w:color w:val="000000" w:themeColor="text1"/>
          <w:sz w:val="24"/>
          <w:szCs w:val="24"/>
        </w:rPr>
        <w:t>março</w:t>
      </w:r>
      <w:r>
        <w:rPr>
          <w:rFonts w:ascii="Arial" w:hAnsi="Arial" w:cs="Arial"/>
          <w:color w:val="000000" w:themeColor="text1"/>
          <w:sz w:val="24"/>
          <w:szCs w:val="24"/>
        </w:rPr>
        <w:t xml:space="preserve"> </w:t>
      </w:r>
      <w:r w:rsidRPr="00CC7955">
        <w:rPr>
          <w:rFonts w:ascii="Arial" w:hAnsi="Arial" w:cs="Arial"/>
          <w:color w:val="000000" w:themeColor="text1"/>
          <w:sz w:val="24"/>
          <w:szCs w:val="24"/>
        </w:rPr>
        <w:t>de 20</w:t>
      </w:r>
      <w:r>
        <w:rPr>
          <w:rFonts w:ascii="Arial" w:hAnsi="Arial" w:cs="Arial"/>
          <w:color w:val="000000" w:themeColor="text1"/>
          <w:sz w:val="24"/>
          <w:szCs w:val="24"/>
        </w:rPr>
        <w:t>22</w:t>
      </w:r>
      <w:r w:rsidRPr="00CC7955">
        <w:rPr>
          <w:rFonts w:ascii="Arial" w:hAnsi="Arial" w:cs="Arial"/>
          <w:color w:val="000000" w:themeColor="text1"/>
          <w:sz w:val="24"/>
          <w:szCs w:val="24"/>
        </w:rPr>
        <w:t>.</w:t>
      </w:r>
    </w:p>
    <w:p w:rsidR="00931B47" w:rsidRDefault="00931B47" w:rsidP="00931B47">
      <w:pPr>
        <w:spacing w:after="0"/>
        <w:jc w:val="both"/>
        <w:rPr>
          <w:rFonts w:ascii="Arial" w:hAnsi="Arial" w:cs="Arial"/>
          <w:color w:val="000000" w:themeColor="text1"/>
          <w:sz w:val="24"/>
          <w:szCs w:val="24"/>
        </w:rPr>
      </w:pPr>
    </w:p>
    <w:p w:rsidR="00931B47" w:rsidRPr="00CC7955" w:rsidRDefault="00931B47" w:rsidP="00931B47">
      <w:pPr>
        <w:spacing w:after="0"/>
        <w:jc w:val="both"/>
        <w:rPr>
          <w:rFonts w:ascii="Arial" w:hAnsi="Arial" w:cs="Arial"/>
          <w:color w:val="000000" w:themeColor="text1"/>
          <w:sz w:val="24"/>
          <w:szCs w:val="24"/>
        </w:rPr>
      </w:pPr>
    </w:p>
    <w:p w:rsidR="00931B47" w:rsidRDefault="00931B47" w:rsidP="00931B47">
      <w:pPr>
        <w:spacing w:after="0" w:line="240" w:lineRule="auto"/>
        <w:jc w:val="both"/>
        <w:rPr>
          <w:rFonts w:ascii="Arial" w:hAnsi="Arial" w:cs="Arial"/>
          <w:sz w:val="24"/>
          <w:szCs w:val="24"/>
        </w:rPr>
      </w:pPr>
    </w:p>
    <w:p w:rsidR="00931B47" w:rsidRPr="004E71CE" w:rsidRDefault="00931B47" w:rsidP="00931B47">
      <w:pPr>
        <w:spacing w:after="0" w:line="240" w:lineRule="auto"/>
        <w:jc w:val="both"/>
        <w:rPr>
          <w:rFonts w:ascii="Arial" w:hAnsi="Arial" w:cs="Arial"/>
          <w:b/>
          <w:sz w:val="24"/>
          <w:szCs w:val="24"/>
        </w:rPr>
      </w:pPr>
      <w:r>
        <w:rPr>
          <w:rFonts w:ascii="Arial" w:hAnsi="Arial" w:cs="Arial"/>
          <w:b/>
          <w:sz w:val="24"/>
          <w:szCs w:val="24"/>
        </w:rPr>
        <w:t xml:space="preserve">Dra. </w:t>
      </w:r>
      <w:r w:rsidRPr="004E71CE">
        <w:rPr>
          <w:rFonts w:ascii="Arial" w:hAnsi="Arial" w:cs="Arial"/>
          <w:b/>
          <w:sz w:val="24"/>
          <w:szCs w:val="24"/>
        </w:rPr>
        <w:t>Emília Corrêa</w:t>
      </w:r>
      <w:r>
        <w:rPr>
          <w:rFonts w:ascii="Arial" w:hAnsi="Arial" w:cs="Arial"/>
          <w:b/>
          <w:sz w:val="24"/>
          <w:szCs w:val="24"/>
        </w:rPr>
        <w:t>,</w:t>
      </w:r>
    </w:p>
    <w:p w:rsidR="00931B47" w:rsidRPr="00931B47" w:rsidRDefault="00931B47" w:rsidP="00931B47">
      <w:pPr>
        <w:spacing w:after="0" w:line="240" w:lineRule="auto"/>
        <w:jc w:val="both"/>
        <w:rPr>
          <w:b/>
          <w:bCs/>
        </w:rPr>
      </w:pPr>
      <w:r w:rsidRPr="00931B47">
        <w:rPr>
          <w:rFonts w:ascii="Arial" w:hAnsi="Arial" w:cs="Arial"/>
          <w:b/>
          <w:bCs/>
          <w:sz w:val="24"/>
          <w:szCs w:val="24"/>
        </w:rPr>
        <w:t>Vereadora (PATRIOTA).</w:t>
      </w:r>
    </w:p>
    <w:p w:rsidR="00931B47" w:rsidRPr="00931B47" w:rsidRDefault="00931B47" w:rsidP="00931B47">
      <w:pPr>
        <w:jc w:val="both"/>
        <w:rPr>
          <w:b/>
          <w:bCs/>
        </w:rPr>
      </w:pPr>
    </w:p>
    <w:p w:rsidR="00931B47" w:rsidRDefault="00931B47" w:rsidP="00931B47"/>
    <w:p w:rsidR="00931B47" w:rsidRDefault="00931B47" w:rsidP="00931B47"/>
    <w:p w:rsidR="00931B47" w:rsidRDefault="00931B47" w:rsidP="00931B47">
      <w:pPr>
        <w:spacing w:after="0"/>
        <w:jc w:val="center"/>
        <w:rPr>
          <w:rFonts w:ascii="Arial" w:hAnsi="Arial" w:cs="Arial"/>
          <w:b/>
          <w:sz w:val="24"/>
          <w:szCs w:val="24"/>
        </w:rPr>
      </w:pPr>
    </w:p>
    <w:p w:rsidR="00931B47" w:rsidRDefault="00931B47" w:rsidP="00931B47">
      <w:pPr>
        <w:spacing w:after="0"/>
        <w:jc w:val="center"/>
        <w:rPr>
          <w:rFonts w:ascii="Arial" w:hAnsi="Arial" w:cs="Arial"/>
          <w:b/>
          <w:sz w:val="24"/>
          <w:szCs w:val="24"/>
        </w:rPr>
      </w:pPr>
      <w:r w:rsidRPr="009E2F7E">
        <w:rPr>
          <w:rFonts w:ascii="Arial" w:hAnsi="Arial" w:cs="Arial"/>
          <w:b/>
          <w:sz w:val="24"/>
          <w:szCs w:val="24"/>
        </w:rPr>
        <w:t>JUSTIFICATIVA</w:t>
      </w:r>
    </w:p>
    <w:p w:rsidR="00931B47" w:rsidRPr="009E2F7E" w:rsidRDefault="00931B47" w:rsidP="00931B47">
      <w:pPr>
        <w:spacing w:after="0"/>
        <w:jc w:val="center"/>
        <w:rPr>
          <w:rFonts w:ascii="Arial" w:hAnsi="Arial" w:cs="Arial"/>
          <w:b/>
          <w:sz w:val="24"/>
          <w:szCs w:val="24"/>
        </w:rPr>
      </w:pPr>
    </w:p>
    <w:p w:rsidR="00931B47" w:rsidRDefault="00931B47" w:rsidP="00931B47">
      <w:pPr>
        <w:spacing w:after="0"/>
        <w:jc w:val="both"/>
        <w:rPr>
          <w:rFonts w:ascii="Arial" w:hAnsi="Arial" w:cs="Arial"/>
          <w:sz w:val="24"/>
          <w:szCs w:val="24"/>
        </w:rPr>
      </w:pPr>
      <w:r>
        <w:rPr>
          <w:rFonts w:ascii="Arial" w:hAnsi="Arial" w:cs="Arial"/>
          <w:sz w:val="24"/>
          <w:szCs w:val="24"/>
        </w:rPr>
        <w:t xml:space="preserve">           Inicialmente, registre-se que a presente iniciativa não se trata de tema de iniciativa legislativa privativa de nenhum ente federado ou do Poder Executivo Municipal, haja vista que não cria gastos nem despesas aos cofres públicos, não modifica estrutura dos órgãos públicos e não modifica regime jurídico afeto aos servidores públicos municipais.</w:t>
      </w:r>
    </w:p>
    <w:p w:rsidR="00931B47" w:rsidRPr="00931B47" w:rsidRDefault="00931B47" w:rsidP="00931B47">
      <w:pPr>
        <w:spacing w:after="0" w:line="240" w:lineRule="auto"/>
        <w:ind w:left="851"/>
        <w:rPr>
          <w:rFonts w:ascii="Times New Roman" w:hAnsi="Times New Roman" w:cs="Times New Roman"/>
          <w:b/>
        </w:rPr>
      </w:pPr>
    </w:p>
    <w:p w:rsidR="00931B47" w:rsidRPr="00931B47" w:rsidRDefault="00931B47" w:rsidP="00931B47">
      <w:pPr>
        <w:tabs>
          <w:tab w:val="left" w:pos="567"/>
          <w:tab w:val="left" w:pos="709"/>
        </w:tabs>
        <w:spacing w:after="0" w:line="240" w:lineRule="auto"/>
        <w:ind w:left="851"/>
        <w:rPr>
          <w:rFonts w:ascii="Times New Roman" w:hAnsi="Times New Roman" w:cs="Times New Roman"/>
          <w:b/>
        </w:rPr>
      </w:pPr>
      <w:r w:rsidRPr="00931B47">
        <w:rPr>
          <w:rFonts w:ascii="Times New Roman" w:hAnsi="Times New Roman" w:cs="Times New Roman"/>
          <w:b/>
        </w:rPr>
        <w:t>CONSTITUIÇÃO FEDERAL</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 xml:space="preserve">Art. 24. Compete à União, aos Estados e ao Distrito Federal legislar concorrentemente sobre: </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V – produção e consumo;</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VIII – responsabilidade por dano ao meio ambiente, ao consumidor, a bens e direitos de valor artístico, estético, histórico, turístico e paisagístico;</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Art. 30. Compete aos Municípios:</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I – legislar sobre assuntos de interesse local;</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II – suplementar a legislação federal e a estadual no que couber;</w:t>
      </w:r>
    </w:p>
    <w:p w:rsidR="00931B47" w:rsidRPr="00931B47" w:rsidRDefault="00931B47" w:rsidP="00931B47">
      <w:pPr>
        <w:tabs>
          <w:tab w:val="left" w:pos="567"/>
          <w:tab w:val="left" w:pos="709"/>
        </w:tabs>
        <w:spacing w:after="0" w:line="240" w:lineRule="auto"/>
        <w:ind w:left="851"/>
        <w:jc w:val="both"/>
        <w:rPr>
          <w:rFonts w:ascii="Times New Roman" w:eastAsia="Times New Roman" w:hAnsi="Times New Roman" w:cs="Times New Roman"/>
          <w:color w:val="000000" w:themeColor="text1"/>
        </w:rPr>
      </w:pPr>
    </w:p>
    <w:p w:rsidR="00931B47" w:rsidRDefault="00931B47" w:rsidP="00931B47">
      <w:pPr>
        <w:tabs>
          <w:tab w:val="left" w:pos="567"/>
          <w:tab w:val="left" w:pos="709"/>
          <w:tab w:val="left" w:pos="851"/>
        </w:tabs>
        <w:spacing w:after="0"/>
        <w:jc w:val="both"/>
        <w:rPr>
          <w:rFonts w:ascii="Arial" w:eastAsia="Times New Roman" w:hAnsi="Arial" w:cs="Arial"/>
          <w:color w:val="000000" w:themeColor="text1"/>
          <w:sz w:val="24"/>
          <w:szCs w:val="27"/>
        </w:rPr>
      </w:pPr>
      <w:r>
        <w:rPr>
          <w:rFonts w:ascii="Arial" w:eastAsia="Times New Roman" w:hAnsi="Arial" w:cs="Arial"/>
          <w:color w:val="000000" w:themeColor="text1"/>
          <w:sz w:val="24"/>
          <w:szCs w:val="27"/>
        </w:rPr>
        <w:t xml:space="preserve">           De outro lado, a Lei Orgânica Municipal prevê claramente, como princípio da ordem econômica, a </w:t>
      </w:r>
      <w:r w:rsidRPr="00A11942">
        <w:rPr>
          <w:rFonts w:ascii="Arial" w:eastAsia="Times New Roman" w:hAnsi="Arial" w:cs="Arial"/>
          <w:color w:val="000000" w:themeColor="text1"/>
          <w:sz w:val="24"/>
          <w:szCs w:val="27"/>
          <w:u w:val="single"/>
        </w:rPr>
        <w:t>proteção do consumidor</w:t>
      </w:r>
      <w:r>
        <w:rPr>
          <w:rFonts w:ascii="Arial" w:eastAsia="Times New Roman" w:hAnsi="Arial" w:cs="Arial"/>
          <w:color w:val="000000" w:themeColor="text1"/>
          <w:sz w:val="24"/>
          <w:szCs w:val="27"/>
        </w:rPr>
        <w:t xml:space="preserve">, </w:t>
      </w:r>
      <w:r w:rsidRPr="00A11942">
        <w:rPr>
          <w:rFonts w:ascii="Arial" w:eastAsia="Times New Roman" w:hAnsi="Arial" w:cs="Arial"/>
          <w:i/>
          <w:color w:val="000000" w:themeColor="text1"/>
          <w:sz w:val="24"/>
          <w:szCs w:val="27"/>
        </w:rPr>
        <w:t>verbis</w:t>
      </w:r>
      <w:r>
        <w:rPr>
          <w:rFonts w:ascii="Arial" w:eastAsia="Times New Roman" w:hAnsi="Arial" w:cs="Arial"/>
          <w:color w:val="000000" w:themeColor="text1"/>
          <w:sz w:val="24"/>
          <w:szCs w:val="27"/>
        </w:rPr>
        <w:t xml:space="preserve">: </w:t>
      </w:r>
    </w:p>
    <w:p w:rsidR="00931B47" w:rsidRPr="00931B47" w:rsidRDefault="00931B47" w:rsidP="00931B47">
      <w:pPr>
        <w:tabs>
          <w:tab w:val="left" w:pos="567"/>
          <w:tab w:val="left" w:pos="709"/>
        </w:tabs>
        <w:spacing w:after="0" w:line="240" w:lineRule="auto"/>
        <w:ind w:left="851"/>
        <w:jc w:val="both"/>
        <w:rPr>
          <w:rFonts w:ascii="Times New Roman" w:eastAsia="Times New Roman" w:hAnsi="Times New Roman" w:cs="Times New Roman"/>
          <w:color w:val="000000" w:themeColor="text1"/>
        </w:rPr>
      </w:pPr>
    </w:p>
    <w:p w:rsidR="00931B47" w:rsidRPr="00931B47" w:rsidRDefault="00931B47" w:rsidP="00931B47">
      <w:pPr>
        <w:tabs>
          <w:tab w:val="left" w:pos="567"/>
          <w:tab w:val="left" w:pos="709"/>
        </w:tabs>
        <w:spacing w:after="0" w:line="240" w:lineRule="auto"/>
        <w:ind w:left="851"/>
        <w:rPr>
          <w:rFonts w:ascii="Times New Roman" w:eastAsia="Times New Roman" w:hAnsi="Times New Roman" w:cs="Times New Roman"/>
          <w:b/>
          <w:color w:val="000000" w:themeColor="text1"/>
        </w:rPr>
      </w:pPr>
      <w:r w:rsidRPr="00931B47">
        <w:rPr>
          <w:rFonts w:ascii="Times New Roman" w:eastAsia="Times New Roman" w:hAnsi="Times New Roman" w:cs="Times New Roman"/>
          <w:b/>
          <w:color w:val="000000" w:themeColor="text1"/>
        </w:rPr>
        <w:t>LEI ORGÂNICA DO MUNICÍPIO DE ARACAJU</w:t>
      </w:r>
    </w:p>
    <w:p w:rsidR="00931B47" w:rsidRPr="00931B47" w:rsidRDefault="00931B47" w:rsidP="00931B47">
      <w:pPr>
        <w:tabs>
          <w:tab w:val="left" w:pos="567"/>
          <w:tab w:val="left" w:pos="709"/>
        </w:tabs>
        <w:spacing w:after="0" w:line="240" w:lineRule="auto"/>
        <w:ind w:left="851"/>
        <w:rPr>
          <w:rFonts w:ascii="Times New Roman" w:eastAsia="Times New Roman" w:hAnsi="Times New Roman" w:cs="Times New Roman"/>
          <w:b/>
          <w:color w:val="000000" w:themeColor="text1"/>
        </w:rPr>
      </w:pPr>
    </w:p>
    <w:p w:rsidR="00931B47" w:rsidRPr="00957F07" w:rsidRDefault="00931B47" w:rsidP="00931B47">
      <w:pPr>
        <w:tabs>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Art. 171. A ordem econômica, fundamentada na valorização do trabalho humano e na livre iniciativa, tem por fim assegurar a todos existência digna, conforme os ditames da justiça social, observados os seguintes princípios:</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w:t>
      </w:r>
    </w:p>
    <w:p w:rsidR="00931B47" w:rsidRPr="00957F07" w:rsidRDefault="00931B47" w:rsidP="00931B47">
      <w:pPr>
        <w:tabs>
          <w:tab w:val="left" w:pos="567"/>
          <w:tab w:val="left" w:pos="709"/>
        </w:tabs>
        <w:spacing w:after="0" w:line="240" w:lineRule="auto"/>
        <w:ind w:left="851"/>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V – defesa do consumidor;</w:t>
      </w:r>
    </w:p>
    <w:p w:rsidR="00931B47" w:rsidRPr="00957F07" w:rsidRDefault="00931B47" w:rsidP="00931B47">
      <w:pPr>
        <w:tabs>
          <w:tab w:val="left" w:pos="567"/>
          <w:tab w:val="left" w:pos="709"/>
        </w:tabs>
        <w:spacing w:after="0" w:line="240" w:lineRule="auto"/>
        <w:ind w:left="851"/>
        <w:rPr>
          <w:rFonts w:ascii="Times New Roman" w:eastAsia="Times New Roman" w:hAnsi="Times New Roman" w:cs="Times New Roman"/>
          <w:bCs/>
          <w:color w:val="000000" w:themeColor="text1"/>
        </w:rPr>
      </w:pPr>
    </w:p>
    <w:p w:rsidR="00931B47" w:rsidRPr="00957F07" w:rsidRDefault="00931B47" w:rsidP="00931B47">
      <w:pPr>
        <w:tabs>
          <w:tab w:val="left" w:pos="567"/>
          <w:tab w:val="left" w:pos="709"/>
        </w:tabs>
        <w:spacing w:after="0" w:line="240" w:lineRule="auto"/>
        <w:ind w:left="851"/>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CDC</w:t>
      </w:r>
    </w:p>
    <w:p w:rsidR="00931B47" w:rsidRPr="00957F07" w:rsidRDefault="00931B47" w:rsidP="00931B47">
      <w:pPr>
        <w:tabs>
          <w:tab w:val="left" w:pos="567"/>
          <w:tab w:val="left" w:pos="709"/>
        </w:tabs>
        <w:spacing w:after="0" w:line="240" w:lineRule="auto"/>
        <w:ind w:left="851"/>
        <w:jc w:val="both"/>
        <w:rPr>
          <w:rFonts w:ascii="Times New Roman" w:eastAsia="Times New Roman" w:hAnsi="Times New Roman" w:cs="Times New Roman"/>
          <w:bCs/>
          <w:color w:val="000000" w:themeColor="text1"/>
        </w:rPr>
      </w:pPr>
      <w:r w:rsidRPr="00957F07">
        <w:rPr>
          <w:rFonts w:ascii="Times New Roman" w:eastAsia="Times New Roman" w:hAnsi="Times New Roman" w:cs="Times New Roman"/>
          <w:bCs/>
          <w:color w:val="000000" w:themeColor="text1"/>
        </w:rPr>
        <w:t xml:space="preserve">Art. 105. Integram o Sistema Nacional de Defesa do consumidor (SNDC), os órgãos federais, estaduais, municipais e do Distrito Federal e as </w:t>
      </w:r>
      <w:r w:rsidRPr="00957F07">
        <w:rPr>
          <w:rFonts w:ascii="Times New Roman" w:eastAsia="Times New Roman" w:hAnsi="Times New Roman" w:cs="Times New Roman"/>
          <w:bCs/>
          <w:color w:val="000000" w:themeColor="text1"/>
          <w:u w:val="single"/>
        </w:rPr>
        <w:t>entidades privadas de defesa do consumidor</w:t>
      </w:r>
      <w:r w:rsidRPr="00957F07">
        <w:rPr>
          <w:rFonts w:ascii="Times New Roman" w:eastAsia="Times New Roman" w:hAnsi="Times New Roman" w:cs="Times New Roman"/>
          <w:bCs/>
          <w:color w:val="000000" w:themeColor="text1"/>
        </w:rPr>
        <w:t>.</w:t>
      </w:r>
    </w:p>
    <w:p w:rsidR="00931B47" w:rsidRPr="00931B47" w:rsidRDefault="00931B47" w:rsidP="00957F07">
      <w:pPr>
        <w:keepLines/>
        <w:tabs>
          <w:tab w:val="left" w:pos="567"/>
          <w:tab w:val="left" w:pos="709"/>
        </w:tabs>
        <w:spacing w:after="0" w:line="240" w:lineRule="auto"/>
        <w:ind w:left="851"/>
        <w:rPr>
          <w:rFonts w:ascii="Times New Roman" w:eastAsia="Times New Roman" w:hAnsi="Times New Roman" w:cs="Times New Roman"/>
          <w:color w:val="000000" w:themeColor="text1"/>
        </w:rPr>
      </w:pPr>
    </w:p>
    <w:p w:rsidR="00957F07" w:rsidRDefault="00931B47" w:rsidP="00931B47">
      <w:pPr>
        <w:tabs>
          <w:tab w:val="left" w:pos="0"/>
          <w:tab w:val="left" w:pos="567"/>
          <w:tab w:val="left" w:pos="709"/>
        </w:tabs>
        <w:spacing w:after="0"/>
        <w:jc w:val="both"/>
        <w:rPr>
          <w:rFonts w:ascii="Arial" w:eastAsia="Times New Roman" w:hAnsi="Arial" w:cs="Arial"/>
          <w:color w:val="000000" w:themeColor="text1"/>
          <w:sz w:val="24"/>
          <w:szCs w:val="27"/>
        </w:rPr>
      </w:pPr>
      <w:r>
        <w:rPr>
          <w:rFonts w:ascii="Arial" w:eastAsia="Times New Roman" w:hAnsi="Arial" w:cs="Arial"/>
          <w:color w:val="000000" w:themeColor="text1"/>
          <w:sz w:val="24"/>
          <w:szCs w:val="27"/>
        </w:rPr>
        <w:t xml:space="preserve">           Observando </w:t>
      </w:r>
      <w:r w:rsidR="00DE5875">
        <w:rPr>
          <w:rFonts w:ascii="Arial" w:eastAsia="Times New Roman" w:hAnsi="Arial" w:cs="Arial"/>
          <w:color w:val="000000" w:themeColor="text1"/>
          <w:sz w:val="24"/>
          <w:szCs w:val="27"/>
        </w:rPr>
        <w:t>a morosidade dos processos judiciais e a multiplicação dos conflitos judiciais, a resolução alternativa dos mesmos pode ser potencializada com a cooperação entre o PROCON municipal e instituições de ensino superior no curso de direito promovendo, com isso, a pacificação social de forma administrativa</w:t>
      </w:r>
      <w:r>
        <w:rPr>
          <w:rFonts w:ascii="Arial" w:eastAsia="Times New Roman" w:hAnsi="Arial" w:cs="Arial"/>
          <w:color w:val="000000" w:themeColor="text1"/>
          <w:sz w:val="24"/>
          <w:szCs w:val="27"/>
        </w:rPr>
        <w:t xml:space="preserve">. </w:t>
      </w:r>
      <w:r w:rsidR="00957F07">
        <w:rPr>
          <w:rFonts w:ascii="Arial" w:eastAsia="Times New Roman" w:hAnsi="Arial" w:cs="Arial"/>
          <w:color w:val="000000" w:themeColor="text1"/>
          <w:sz w:val="24"/>
          <w:szCs w:val="27"/>
        </w:rPr>
        <w:t>Para tanto apresenta esta propositura para modificar dispositivo da lei nº 2.459/1996 que instituiu o programa de defesa do consumidor no município de Aracaju.</w:t>
      </w:r>
    </w:p>
    <w:p w:rsidR="00957F07" w:rsidRDefault="00957F07" w:rsidP="00931B47">
      <w:pPr>
        <w:tabs>
          <w:tab w:val="left" w:pos="0"/>
          <w:tab w:val="left" w:pos="567"/>
          <w:tab w:val="left" w:pos="709"/>
        </w:tabs>
        <w:spacing w:after="0"/>
        <w:jc w:val="both"/>
        <w:rPr>
          <w:rFonts w:ascii="Arial" w:eastAsia="Times New Roman" w:hAnsi="Arial" w:cs="Arial"/>
          <w:color w:val="000000" w:themeColor="text1"/>
          <w:sz w:val="24"/>
          <w:szCs w:val="27"/>
        </w:rPr>
      </w:pPr>
    </w:p>
    <w:p w:rsidR="00931B47" w:rsidRDefault="00931B47" w:rsidP="00957F07">
      <w:pPr>
        <w:tabs>
          <w:tab w:val="left" w:pos="0"/>
          <w:tab w:val="left" w:pos="567"/>
          <w:tab w:val="left" w:pos="709"/>
        </w:tabs>
        <w:spacing w:after="0"/>
        <w:ind w:firstLine="567"/>
        <w:jc w:val="both"/>
        <w:rPr>
          <w:rFonts w:ascii="Arial" w:eastAsia="Times New Roman" w:hAnsi="Arial" w:cs="Arial"/>
          <w:color w:val="000000" w:themeColor="text1"/>
          <w:sz w:val="24"/>
          <w:szCs w:val="27"/>
        </w:rPr>
      </w:pPr>
      <w:r>
        <w:rPr>
          <w:rFonts w:ascii="Arial" w:eastAsia="Times New Roman" w:hAnsi="Arial" w:cs="Arial"/>
          <w:color w:val="000000" w:themeColor="text1"/>
          <w:sz w:val="24"/>
          <w:szCs w:val="27"/>
        </w:rPr>
        <w:t xml:space="preserve">Por </w:t>
      </w:r>
      <w:r w:rsidR="00957F07">
        <w:rPr>
          <w:rFonts w:ascii="Arial" w:eastAsia="Times New Roman" w:hAnsi="Arial" w:cs="Arial"/>
          <w:color w:val="000000" w:themeColor="text1"/>
          <w:sz w:val="24"/>
          <w:szCs w:val="27"/>
        </w:rPr>
        <w:t>isso</w:t>
      </w:r>
      <w:r>
        <w:rPr>
          <w:rFonts w:ascii="Arial" w:eastAsia="Times New Roman" w:hAnsi="Arial" w:cs="Arial"/>
          <w:color w:val="000000" w:themeColor="text1"/>
          <w:sz w:val="24"/>
          <w:szCs w:val="27"/>
        </w:rPr>
        <w:t>, cont</w:t>
      </w:r>
      <w:r w:rsidR="00957F07">
        <w:rPr>
          <w:rFonts w:ascii="Arial" w:eastAsia="Times New Roman" w:hAnsi="Arial" w:cs="Arial"/>
          <w:color w:val="000000" w:themeColor="text1"/>
          <w:sz w:val="24"/>
          <w:szCs w:val="27"/>
        </w:rPr>
        <w:t>o</w:t>
      </w:r>
      <w:r>
        <w:rPr>
          <w:rFonts w:ascii="Arial" w:eastAsia="Times New Roman" w:hAnsi="Arial" w:cs="Arial"/>
          <w:color w:val="000000" w:themeColor="text1"/>
          <w:sz w:val="24"/>
          <w:szCs w:val="27"/>
        </w:rPr>
        <w:t xml:space="preserve"> com o apoio dos colegas desta Casa Legislativa para apreciar e aprovar esta medida legal para possibilitar a melhor resolução dos conflitos locais. </w:t>
      </w:r>
    </w:p>
    <w:p w:rsidR="00DE5875" w:rsidRDefault="00DE5875" w:rsidP="00931B47">
      <w:pPr>
        <w:tabs>
          <w:tab w:val="left" w:pos="0"/>
          <w:tab w:val="left" w:pos="567"/>
          <w:tab w:val="left" w:pos="709"/>
        </w:tabs>
        <w:spacing w:after="0"/>
        <w:jc w:val="both"/>
        <w:rPr>
          <w:rFonts w:ascii="Arial" w:eastAsia="Times New Roman" w:hAnsi="Arial" w:cs="Arial"/>
          <w:color w:val="000000" w:themeColor="text1"/>
          <w:sz w:val="24"/>
          <w:szCs w:val="27"/>
        </w:rPr>
      </w:pPr>
    </w:p>
    <w:p w:rsidR="00DE5875" w:rsidRDefault="00DE5875" w:rsidP="00931B47">
      <w:pPr>
        <w:tabs>
          <w:tab w:val="left" w:pos="0"/>
          <w:tab w:val="left" w:pos="567"/>
          <w:tab w:val="left" w:pos="709"/>
        </w:tabs>
        <w:spacing w:after="0"/>
        <w:jc w:val="both"/>
        <w:rPr>
          <w:rFonts w:ascii="Arial" w:eastAsia="Times New Roman" w:hAnsi="Arial" w:cs="Arial"/>
          <w:color w:val="000000" w:themeColor="text1"/>
          <w:sz w:val="24"/>
          <w:szCs w:val="27"/>
        </w:rPr>
      </w:pPr>
      <w:r>
        <w:rPr>
          <w:rFonts w:ascii="Arial" w:eastAsia="Times New Roman" w:hAnsi="Arial" w:cs="Arial"/>
          <w:noProof/>
          <w:color w:val="000000" w:themeColor="text1"/>
          <w:sz w:val="24"/>
          <w:szCs w:val="27"/>
        </w:rPr>
        <w:lastRenderedPageBreak/>
        <w:drawing>
          <wp:inline distT="0" distB="0" distL="0" distR="0">
            <wp:extent cx="5800725" cy="911542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0959" cy="9115792"/>
                    </a:xfrm>
                    <a:prstGeom prst="rect">
                      <a:avLst/>
                    </a:prstGeom>
                    <a:noFill/>
                    <a:ln>
                      <a:noFill/>
                    </a:ln>
                  </pic:spPr>
                </pic:pic>
              </a:graphicData>
            </a:graphic>
          </wp:inline>
        </w:drawing>
      </w:r>
    </w:p>
    <w:p w:rsidR="00DE5875" w:rsidRDefault="00957F07" w:rsidP="00931B47">
      <w:pPr>
        <w:tabs>
          <w:tab w:val="left" w:pos="0"/>
          <w:tab w:val="left" w:pos="567"/>
          <w:tab w:val="left" w:pos="709"/>
        </w:tabs>
        <w:spacing w:after="0"/>
        <w:jc w:val="both"/>
        <w:rPr>
          <w:rFonts w:ascii="Arial" w:eastAsia="Times New Roman" w:hAnsi="Arial" w:cs="Arial"/>
          <w:color w:val="000000" w:themeColor="text1"/>
          <w:sz w:val="24"/>
          <w:szCs w:val="27"/>
        </w:rPr>
      </w:pPr>
      <w:r>
        <w:rPr>
          <w:rFonts w:ascii="Arial" w:eastAsia="Times New Roman" w:hAnsi="Arial" w:cs="Arial"/>
          <w:noProof/>
          <w:color w:val="000000" w:themeColor="text1"/>
          <w:sz w:val="24"/>
          <w:szCs w:val="27"/>
        </w:rPr>
        <w:lastRenderedPageBreak/>
        <w:drawing>
          <wp:inline distT="0" distB="0" distL="0" distR="0">
            <wp:extent cx="5334000" cy="85629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0" cy="8562975"/>
                    </a:xfrm>
                    <a:prstGeom prst="rect">
                      <a:avLst/>
                    </a:prstGeom>
                    <a:noFill/>
                    <a:ln>
                      <a:noFill/>
                    </a:ln>
                  </pic:spPr>
                </pic:pic>
              </a:graphicData>
            </a:graphic>
          </wp:inline>
        </w:drawing>
      </w:r>
      <w:r>
        <w:rPr>
          <w:rFonts w:ascii="Arial" w:eastAsia="Times New Roman" w:hAnsi="Arial" w:cs="Arial"/>
          <w:noProof/>
          <w:color w:val="000000" w:themeColor="text1"/>
          <w:sz w:val="24"/>
          <w:szCs w:val="27"/>
        </w:rPr>
        <w:lastRenderedPageBreak/>
        <w:drawing>
          <wp:inline distT="0" distB="0" distL="0" distR="0">
            <wp:extent cx="5324475" cy="79438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4475" cy="7943850"/>
                    </a:xfrm>
                    <a:prstGeom prst="rect">
                      <a:avLst/>
                    </a:prstGeom>
                    <a:noFill/>
                    <a:ln>
                      <a:noFill/>
                    </a:ln>
                  </pic:spPr>
                </pic:pic>
              </a:graphicData>
            </a:graphic>
          </wp:inline>
        </w:drawing>
      </w:r>
    </w:p>
    <w:sectPr w:rsidR="00DE5875" w:rsidSect="00931B47">
      <w:headerReference w:type="default" r:id="rId9"/>
      <w:footerReference w:type="default" r:id="rId10"/>
      <w:pgSz w:w="11906" w:h="16838"/>
      <w:pgMar w:top="1701" w:right="1133" w:bottom="851" w:left="1701" w:header="284" w:footer="3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12" w:rsidRDefault="00DA0D12" w:rsidP="00931B47">
      <w:pPr>
        <w:spacing w:after="0" w:line="240" w:lineRule="auto"/>
      </w:pPr>
      <w:r>
        <w:separator/>
      </w:r>
    </w:p>
  </w:endnote>
  <w:endnote w:type="continuationSeparator" w:id="1">
    <w:p w:rsidR="00DA0D12" w:rsidRDefault="00DA0D12" w:rsidP="00931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CA" w:rsidRPr="00931B47" w:rsidRDefault="004D3562" w:rsidP="001E2ACA">
    <w:pPr>
      <w:pStyle w:val="Rodap"/>
      <w:jc w:val="center"/>
      <w:rPr>
        <w:rFonts w:ascii="Times New Roman" w:hAnsi="Times New Roman" w:cs="Times New Roman"/>
        <w:sz w:val="16"/>
        <w:szCs w:val="20"/>
      </w:rPr>
    </w:pPr>
    <w:r w:rsidRPr="00931B47">
      <w:rPr>
        <w:rFonts w:ascii="Times New Roman" w:hAnsi="Times New Roman" w:cs="Times New Roman"/>
        <w:b/>
        <w:sz w:val="18"/>
        <w:szCs w:val="20"/>
      </w:rPr>
      <w:t>Praça Olímpio Campos, 74. Centro. CEP.: 49010-010. Telefone 2107-4840.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12" w:rsidRDefault="00DA0D12" w:rsidP="00931B47">
      <w:pPr>
        <w:spacing w:after="0" w:line="240" w:lineRule="auto"/>
      </w:pPr>
      <w:r>
        <w:separator/>
      </w:r>
    </w:p>
  </w:footnote>
  <w:footnote w:type="continuationSeparator" w:id="1">
    <w:p w:rsidR="00DA0D12" w:rsidRDefault="00DA0D12" w:rsidP="00931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CA" w:rsidRPr="001E2ACA" w:rsidRDefault="00931B47" w:rsidP="001E2ACA">
    <w:pPr>
      <w:pStyle w:val="Cabealho"/>
      <w:spacing w:after="60"/>
      <w:jc w:val="center"/>
      <w:rPr>
        <w:rFonts w:ascii="Arial" w:hAnsi="Arial" w:cs="Arial"/>
        <w:b/>
        <w:sz w:val="20"/>
        <w:szCs w:val="20"/>
      </w:rPr>
    </w:pPr>
    <w:r w:rsidRPr="001E2ACA">
      <w:rPr>
        <w:rFonts w:ascii="Arial" w:hAnsi="Arial" w:cs="Arial"/>
        <w:sz w:val="20"/>
        <w:szCs w:val="20"/>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o:ole="" filled="t">
          <v:fill color2="black"/>
          <v:imagedata r:id="rId1" o:title=""/>
        </v:shape>
        <o:OLEObject Type="Embed" ProgID="Word.Picture.8" ShapeID="_x0000_i1025" DrawAspect="Content" ObjectID="_1708404066" r:id="rId2"/>
      </w:object>
    </w:r>
  </w:p>
  <w:p w:rsidR="001E2ACA" w:rsidRPr="00931B47" w:rsidRDefault="004D3562" w:rsidP="001E2ACA">
    <w:pPr>
      <w:pStyle w:val="Cabealho"/>
      <w:jc w:val="center"/>
      <w:rPr>
        <w:rFonts w:ascii="Times New Roman" w:hAnsi="Times New Roman" w:cs="Times New Roman"/>
        <w:b/>
        <w:sz w:val="18"/>
        <w:szCs w:val="18"/>
      </w:rPr>
    </w:pPr>
    <w:r w:rsidRPr="00931B47">
      <w:rPr>
        <w:rFonts w:ascii="Times New Roman" w:hAnsi="Times New Roman" w:cs="Times New Roman"/>
        <w:b/>
        <w:sz w:val="18"/>
        <w:szCs w:val="18"/>
      </w:rPr>
      <w:t>ESTADO DE SERGIPE</w:t>
    </w:r>
  </w:p>
  <w:p w:rsidR="001E2ACA" w:rsidRPr="00931B47" w:rsidRDefault="004D3562" w:rsidP="001E2ACA">
    <w:pPr>
      <w:pStyle w:val="Cabealho"/>
      <w:jc w:val="center"/>
      <w:rPr>
        <w:rFonts w:ascii="Times New Roman" w:hAnsi="Times New Roman" w:cs="Times New Roman"/>
        <w:sz w:val="18"/>
        <w:szCs w:val="18"/>
      </w:rPr>
    </w:pPr>
    <w:r w:rsidRPr="00931B47">
      <w:rPr>
        <w:rFonts w:ascii="Times New Roman" w:hAnsi="Times New Roman" w:cs="Times New Roman"/>
        <w:b/>
        <w:sz w:val="18"/>
        <w:szCs w:val="18"/>
      </w:rPr>
      <w:t>CÂMARA MUNICIPAL DE ARACAJU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931B47"/>
    <w:rsid w:val="001C2103"/>
    <w:rsid w:val="004D3562"/>
    <w:rsid w:val="00583C2E"/>
    <w:rsid w:val="008430FF"/>
    <w:rsid w:val="00931B47"/>
    <w:rsid w:val="00957F07"/>
    <w:rsid w:val="00B06621"/>
    <w:rsid w:val="00C10EBF"/>
    <w:rsid w:val="00C16DDC"/>
    <w:rsid w:val="00DA0D12"/>
    <w:rsid w:val="00DE5875"/>
    <w:rsid w:val="00E34956"/>
    <w:rsid w:val="00EF46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47"/>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1B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1B47"/>
    <w:rPr>
      <w:rFonts w:eastAsiaTheme="minorEastAsia"/>
      <w:lang w:eastAsia="pt-BR"/>
    </w:rPr>
  </w:style>
  <w:style w:type="paragraph" w:styleId="Rodap">
    <w:name w:val="footer"/>
    <w:basedOn w:val="Normal"/>
    <w:link w:val="RodapChar"/>
    <w:uiPriority w:val="99"/>
    <w:unhideWhenUsed/>
    <w:rsid w:val="00931B47"/>
    <w:pPr>
      <w:tabs>
        <w:tab w:val="center" w:pos="4252"/>
        <w:tab w:val="right" w:pos="8504"/>
      </w:tabs>
      <w:spacing w:after="0" w:line="240" w:lineRule="auto"/>
    </w:pPr>
  </w:style>
  <w:style w:type="character" w:customStyle="1" w:styleId="RodapChar">
    <w:name w:val="Rodapé Char"/>
    <w:basedOn w:val="Fontepargpadro"/>
    <w:link w:val="Rodap"/>
    <w:uiPriority w:val="99"/>
    <w:rsid w:val="00931B47"/>
    <w:rPr>
      <w:rFonts w:eastAsiaTheme="minorEastAsia"/>
      <w:lang w:eastAsia="pt-BR"/>
    </w:rPr>
  </w:style>
  <w:style w:type="paragraph" w:styleId="Textodebalo">
    <w:name w:val="Balloon Text"/>
    <w:basedOn w:val="Normal"/>
    <w:link w:val="TextodebaloChar"/>
    <w:uiPriority w:val="99"/>
    <w:semiHidden/>
    <w:unhideWhenUsed/>
    <w:rsid w:val="00C10E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0EBF"/>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493</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Pereira</dc:creator>
  <cp:keywords/>
  <dc:description/>
  <cp:lastModifiedBy>Usuario</cp:lastModifiedBy>
  <cp:revision>2</cp:revision>
  <dcterms:created xsi:type="dcterms:W3CDTF">2022-03-07T04:38:00Z</dcterms:created>
  <dcterms:modified xsi:type="dcterms:W3CDTF">2022-03-10T10:55:00Z</dcterms:modified>
</cp:coreProperties>
</file>