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2"/>
        <w:jc w:val="center"/>
        <w:rPr>
          <w:b/>
          <w:bCs/>
        </w:rPr>
      </w:pPr>
      <w:r>
        <w:rPr>
          <w:b/>
          <w:bCs/>
        </w:rPr>
        <w:t>PROJETO DE LEI Nº</w:t>
      </w:r>
    </w:p>
    <w:p>
      <w:pPr>
        <w:pStyle w:val="22"/>
        <w:jc w:val="center"/>
        <w:rPr>
          <w:b/>
          <w:bCs/>
        </w:rPr>
      </w:pPr>
    </w:p>
    <w:p>
      <w:pPr>
        <w:pStyle w:val="22"/>
        <w:ind w:left="4536"/>
        <w:jc w:val="both"/>
        <w:rPr>
          <w:b/>
          <w:bCs/>
        </w:rPr>
      </w:pPr>
      <w:r>
        <w:rPr>
          <w:b/>
          <w:bCs/>
        </w:rPr>
        <w:t xml:space="preserve"> </w:t>
      </w:r>
    </w:p>
    <w:p>
      <w:pPr>
        <w:pStyle w:val="22"/>
        <w:jc w:val="both"/>
      </w:pPr>
    </w:p>
    <w:p>
      <w:pPr>
        <w:pStyle w:val="22"/>
        <w:jc w:val="both"/>
      </w:pPr>
      <w:r>
        <w:t>Autor: Adriano Souza Santana (CABO DIDI)</w:t>
      </w:r>
    </w:p>
    <w:p>
      <w:pPr>
        <w:pStyle w:val="22"/>
        <w:jc w:val="both"/>
      </w:pPr>
    </w:p>
    <w:p>
      <w:pPr>
        <w:pStyle w:val="22"/>
        <w:ind w:left="3969"/>
        <w:jc w:val="both"/>
        <w:rPr>
          <w:b/>
        </w:rPr>
      </w:pPr>
    </w:p>
    <w:p>
      <w:pPr>
        <w:pStyle w:val="22"/>
        <w:ind w:left="3969"/>
        <w:jc w:val="both"/>
        <w:rPr>
          <w:rFonts w:eastAsia="SimSun"/>
          <w:b/>
          <w:color w:val="auto"/>
        </w:rPr>
      </w:pPr>
      <w:r>
        <w:rPr>
          <w:rFonts w:hint="default" w:eastAsia="SimSun"/>
          <w:b/>
          <w:color w:val="auto"/>
          <w:lang w:val="pt-BR"/>
        </w:rPr>
        <w:t>I</w:t>
      </w:r>
      <w:r>
        <w:rPr>
          <w:rFonts w:eastAsia="SimSun"/>
          <w:b/>
          <w:color w:val="auto"/>
        </w:rPr>
        <w:t>nstitui a obrigatoriedade de bares, restaurantes e casas noturnas a adotarem medidas de auxílio à mulher que se sintam em situaç</w:t>
      </w:r>
      <w:r>
        <w:rPr>
          <w:rFonts w:hint="default" w:eastAsia="SimSun"/>
          <w:b/>
          <w:color w:val="auto"/>
          <w:lang w:val="pt-BR"/>
        </w:rPr>
        <w:t>ão</w:t>
      </w:r>
      <w:r>
        <w:rPr>
          <w:rFonts w:eastAsia="SimSun"/>
          <w:b/>
          <w:color w:val="auto"/>
        </w:rPr>
        <w:t xml:space="preserve"> de risco.</w:t>
      </w:r>
    </w:p>
    <w:p>
      <w:pPr>
        <w:pStyle w:val="22"/>
        <w:jc w:val="both"/>
        <w:rPr>
          <w:b/>
          <w:bCs/>
        </w:rPr>
      </w:pPr>
    </w:p>
    <w:p>
      <w:pPr>
        <w:pStyle w:val="22"/>
        <w:jc w:val="both"/>
        <w:rPr>
          <w:b/>
          <w:bCs/>
        </w:rPr>
      </w:pPr>
    </w:p>
    <w:p>
      <w:pPr>
        <w:pStyle w:val="22"/>
        <w:jc w:val="both"/>
        <w:rPr>
          <w:b/>
          <w:bCs/>
        </w:rPr>
      </w:pPr>
    </w:p>
    <w:p>
      <w:pPr>
        <w:pStyle w:val="22"/>
        <w:jc w:val="both"/>
        <w:rPr>
          <w:b/>
          <w:bCs/>
        </w:rPr>
      </w:pPr>
      <w:r>
        <w:rPr>
          <w:b/>
          <w:bCs/>
        </w:rPr>
        <w:t>O PREFEITO DO MUNICÍPIO DE ARACAJU:</w:t>
      </w:r>
    </w:p>
    <w:p>
      <w:pPr>
        <w:pStyle w:val="22"/>
        <w:jc w:val="both"/>
        <w:rPr>
          <w:b/>
          <w:bCs/>
        </w:rPr>
      </w:pPr>
      <w:r>
        <w:rPr>
          <w:b/>
          <w:bCs/>
        </w:rPr>
        <w:t xml:space="preserve">Faz saber que a Câmara Municipal de Aracaju aprovou, e ele sanciona a seguinte Lei: </w:t>
      </w:r>
    </w:p>
    <w:p>
      <w:pPr>
        <w:jc w:val="both"/>
        <w:rPr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b/>
          <w:bCs/>
          <w:color w:val="000000"/>
          <w:lang w:eastAsia="pt-BR"/>
        </w:rPr>
        <w:t xml:space="preserve">Art. 1º </w:t>
      </w:r>
      <w:r>
        <w:rPr>
          <w:rFonts w:eastAsia="Times New Roman"/>
          <w:color w:val="000000"/>
          <w:lang w:eastAsia="pt-BR"/>
        </w:rPr>
        <w:t>- Ficam os bares, casas noturnas, restaurantes e organizadores de festas no geral, obrigados a adotar medidas para auxiliar as mulheres que se sintam em situação de risco e vulnerabilidade nas dependências desses estabelecimentos, no âmbito do Município de Aracaju.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b/>
          <w:color w:val="000000"/>
          <w:lang w:eastAsia="pt-BR"/>
        </w:rPr>
        <w:t>Art. 2º</w:t>
      </w:r>
      <w:r>
        <w:rPr>
          <w:rFonts w:eastAsia="Times New Roman"/>
          <w:color w:val="000000"/>
          <w:lang w:eastAsia="pt-BR"/>
        </w:rPr>
        <w:t xml:space="preserve"> O auxílio à mulher será prestado pelo estabelecimento mediante a oferta de acompanhamento até um ambiente seguro interno ou externo, ao carro ou demais meios de transporte, e, caso necessário, comunicar à polícia.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§ 1º - Serão utilizados cartazes fixados nos banheiros femininos ou em qualquer ambiente do local, informando a disponibilidade do estabelecimento para o auxílio à mulher que se sinta em situação de risco.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§ 2º - Outros mecanismos que viabilizem a efetiva comunicação entre a mulher e o estabelecimento podem ser utilizados.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b/>
          <w:color w:val="000000"/>
          <w:lang w:eastAsia="pt-BR"/>
        </w:rPr>
        <w:t>Art. 3º</w:t>
      </w:r>
      <w:r>
        <w:rPr>
          <w:rFonts w:eastAsia="Times New Roman"/>
          <w:color w:val="000000"/>
          <w:lang w:eastAsia="pt-BR"/>
        </w:rPr>
        <w:t xml:space="preserve"> Os estabelecimentos previstos nesta Lei deverão treinar e capacitar todos os seus funcionários para a aplicação das medidas previstas nesta Lei.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b/>
        </w:rPr>
        <w:t xml:space="preserve">Art.4º </w:t>
      </w:r>
      <w:r>
        <w:t>O programa previsto nesta lei, no que se refere à ação pública, será implantado progressivamente, conforme haja recursos para sua efetivação.</w:t>
      </w:r>
    </w:p>
    <w:p>
      <w:pPr>
        <w:jc w:val="both"/>
        <w:rPr>
          <w:b/>
        </w:rPr>
      </w:pPr>
    </w:p>
    <w:p>
      <w:pPr>
        <w:jc w:val="both"/>
      </w:pPr>
      <w:r>
        <w:rPr>
          <w:b/>
        </w:rPr>
        <w:t>Art.5º</w:t>
      </w:r>
      <w:r>
        <w:t xml:space="preserve"> Esta Lei será regulamentada por ato próprio do Poder Executivo.</w:t>
      </w:r>
    </w:p>
    <w:p>
      <w:pPr>
        <w:jc w:val="both"/>
      </w:pPr>
    </w:p>
    <w:p>
      <w:pPr>
        <w:jc w:val="both"/>
      </w:pPr>
      <w:r>
        <w:rPr>
          <w:b/>
        </w:rPr>
        <w:t xml:space="preserve">Art.6º </w:t>
      </w:r>
      <w:r>
        <w:t xml:space="preserve">As despesas decorrentes desta lei correrão por conta de dotações orçamentárias próprias, suplementadas se necessário. </w:t>
      </w:r>
    </w:p>
    <w:p>
      <w:pPr>
        <w:jc w:val="both"/>
      </w:pPr>
    </w:p>
    <w:p>
      <w:pPr>
        <w:jc w:val="both"/>
      </w:pPr>
      <w:r>
        <w:rPr>
          <w:b/>
        </w:rPr>
        <w:t>Art. 7º</w:t>
      </w:r>
      <w:r>
        <w:t xml:space="preserve"> Esta Lei entrará em vigor na data de sua publicação, revogadas as disposições em contrário.</w:t>
      </w:r>
    </w:p>
    <w:p>
      <w:pPr>
        <w:jc w:val="both"/>
        <w:rPr>
          <w:rFonts w:eastAsiaTheme="minorEastAsia"/>
          <w:lang w:eastAsia="ja-JP"/>
        </w:rPr>
      </w:pPr>
    </w:p>
    <w:p>
      <w:pPr>
        <w:jc w:val="both"/>
        <w:rPr>
          <w:rFonts w:eastAsiaTheme="minorEastAsia"/>
          <w:lang w:eastAsia="ja-JP"/>
        </w:rPr>
      </w:pPr>
    </w:p>
    <w:p>
      <w:pPr>
        <w:jc w:val="both"/>
        <w:rPr>
          <w:rFonts w:eastAsiaTheme="minorEastAsia"/>
          <w:lang w:eastAsia="ja-JP"/>
        </w:rPr>
      </w:pPr>
    </w:p>
    <w:p>
      <w:pPr>
        <w:jc w:val="both"/>
      </w:pPr>
      <w:r>
        <w:t xml:space="preserve">Palácio Graccho Cardoso, Aracaju, 10 de </w:t>
      </w:r>
      <w:r>
        <w:rPr>
          <w:rFonts w:hint="default"/>
          <w:lang w:val="pt-BR"/>
        </w:rPr>
        <w:t>fevereiro</w:t>
      </w:r>
      <w:r>
        <w:t xml:space="preserve"> de 20</w:t>
      </w:r>
      <w:r>
        <w:rPr>
          <w:rFonts w:hint="default"/>
          <w:lang w:val="pt-BR"/>
        </w:rPr>
        <w:t>20</w:t>
      </w:r>
      <w:r>
        <w:t>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22"/>
        <w:jc w:val="center"/>
        <w:rPr>
          <w:b/>
        </w:rPr>
      </w:pPr>
      <w:r>
        <w:rPr>
          <w:b/>
          <w:bCs/>
        </w:rPr>
        <w:t>Adriano Souza Santana (CABO DIDI)</w:t>
      </w:r>
    </w:p>
    <w:p>
      <w:pPr>
        <w:jc w:val="center"/>
        <w:rPr>
          <w:b/>
          <w:bCs/>
        </w:rPr>
      </w:pPr>
      <w:r>
        <w:rPr>
          <w:b/>
          <w:bCs/>
        </w:rPr>
        <w:t>Vereador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pStyle w:val="22"/>
        <w:jc w:val="center"/>
      </w:pPr>
      <w:r>
        <w:rPr>
          <w:b/>
          <w:bCs/>
        </w:rPr>
        <w:t>JUSTIFICATIVA</w:t>
      </w:r>
    </w:p>
    <w:p>
      <w:pPr>
        <w:pStyle w:val="4"/>
        <w:ind w:right="121"/>
        <w:rPr>
          <w:rFonts w:ascii="Times New Roman" w:hAnsi="Times New Roman" w:cs="Times New Roman"/>
          <w:szCs w:val="24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A presente propositura tem por objetivo obrigar a prestação de auxílio a mulheres que se encontrem em situação vulnerável e de risco. A medida foi pensada com vistas a ampliar a segurança das mulheres, sobretudo com os recorrentes casos de assédio, abuso e violência. Grande parte destes casos ocorrem em ambientes como bares, casas de show, baladas e afins, que muitas vezes não possuem estrutura e profissionais treinados para agir nessas situações, buscando ao máximo proteger as mulheres.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Conforme os textos deverão ser utilizados cartazes fixados nos banheiros femininos ou em qualquer ambiente do estabelecimento que informe a disponibilidade do bar, restaurante ou casa noturna quanto ao auxílio à mulher que se sinta em situação de risco. Outros mecanismos que viabilizem a efetiva comunicação entre a mulher e o estabelecimento também poderão ser utilizados.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É importante destacar a importância de tornar tais ambientes mais receptivos e menos temerário às mulheres, que por vezes abrem mão de frequentá-los com o receio de ser vítima da violência de gênero. É direito das mulheres ocuparem todos os espaços, e dever do Estado torná-los seguros e menos hostis.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Dessa forma, solicito atenção aos nobres vereadores para a discussão e aprovação do projeto de lei.</w:t>
      </w:r>
      <w:r>
        <w:rPr>
          <w:rFonts w:eastAsia="Times New Roman"/>
          <w:color w:val="000000"/>
          <w:lang w:eastAsia="pt-BR"/>
        </w:rPr>
        <w:cr/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jc w:val="both"/>
      </w:pPr>
    </w:p>
    <w:p>
      <w:pPr>
        <w:jc w:val="both"/>
        <w:rPr>
          <w:lang w:val="pt-BR"/>
        </w:rPr>
      </w:pPr>
      <w:r>
        <w:t xml:space="preserve">Palácio Graccho Cardoso, Aracaju, </w:t>
      </w:r>
      <w:r>
        <w:rPr>
          <w:rFonts w:hint="default"/>
          <w:lang w:val="pt-BR"/>
        </w:rPr>
        <w:t>10</w:t>
      </w:r>
      <w:r>
        <w:t xml:space="preserve"> de </w:t>
      </w:r>
      <w:r>
        <w:rPr>
          <w:rFonts w:hint="default"/>
          <w:lang w:val="pt-BR"/>
        </w:rPr>
        <w:t>fevereiro</w:t>
      </w:r>
      <w:r>
        <w:t xml:space="preserve"> de </w:t>
      </w:r>
      <w:r>
        <w:rPr>
          <w:lang w:val="pt-BR"/>
        </w:rPr>
        <w:t>2020.</w:t>
      </w:r>
      <w:bookmarkStart w:id="0" w:name="_GoBack"/>
      <w:bookmarkEnd w:id="0"/>
    </w:p>
    <w:p>
      <w:pPr>
        <w:jc w:val="both"/>
        <w:rPr>
          <w:lang w:val="pt-BR"/>
        </w:rPr>
      </w:pPr>
    </w:p>
    <w:p>
      <w:pPr>
        <w:jc w:val="both"/>
        <w:rPr>
          <w:lang w:val="pt-BR"/>
        </w:rPr>
      </w:pPr>
    </w:p>
    <w:p>
      <w:pPr>
        <w:jc w:val="both"/>
        <w:rPr>
          <w:rFonts w:hint="default"/>
          <w:lang w:val="pt-BR"/>
        </w:rPr>
      </w:pPr>
    </w:p>
    <w:p>
      <w:pPr>
        <w:jc w:val="both"/>
      </w:pPr>
    </w:p>
    <w:p>
      <w:pPr>
        <w:pStyle w:val="22"/>
        <w:jc w:val="center"/>
        <w:rPr>
          <w:b/>
        </w:rPr>
      </w:pPr>
      <w:r>
        <w:rPr>
          <w:b/>
          <w:bCs/>
        </w:rPr>
        <w:t>Adriano Souza Santana (CABO DIDI)</w:t>
      </w:r>
    </w:p>
    <w:p>
      <w:pPr>
        <w:jc w:val="center"/>
      </w:pPr>
      <w:r>
        <w:rPr>
          <w:b/>
          <w:bCs/>
        </w:rPr>
        <w:t>Vereador</w:t>
      </w:r>
    </w:p>
    <w:sectPr>
      <w:headerReference r:id="rId3" w:type="default"/>
      <w:footerReference r:id="rId4" w:type="default"/>
      <w:pgSz w:w="12240" w:h="15840"/>
      <w:pgMar w:top="1417" w:right="1701" w:bottom="1079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t xml:space="preserve">Pça: Olímpio Campos, 74 – Centro CEP: 49010-010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drawing>
        <wp:inline distT="0" distB="0" distL="0" distR="0">
          <wp:extent cx="90487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8"/>
      <w:jc w:val="center"/>
      <w:rPr>
        <w:b/>
      </w:rPr>
    </w:pPr>
    <w:r>
      <w:rPr>
        <w:b/>
      </w:rPr>
      <w:t>ESTADO DE SERGIPE</w:t>
    </w:r>
  </w:p>
  <w:p>
    <w:pPr>
      <w:pStyle w:val="8"/>
      <w:jc w:val="center"/>
      <w:rPr>
        <w:b/>
      </w:rPr>
    </w:pPr>
    <w:r>
      <w:rPr>
        <w:b/>
      </w:rPr>
      <w:t>CÂMARA MUNICIPAL DE ARACAJU</w:t>
    </w:r>
  </w:p>
  <w:p>
    <w:pPr>
      <w:pStyle w:val="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855"/>
    <w:rsid w:val="000225C7"/>
    <w:rsid w:val="00037F08"/>
    <w:rsid w:val="00053900"/>
    <w:rsid w:val="00053EB0"/>
    <w:rsid w:val="00055C11"/>
    <w:rsid w:val="00065F59"/>
    <w:rsid w:val="00076524"/>
    <w:rsid w:val="000C2D7A"/>
    <w:rsid w:val="000E2163"/>
    <w:rsid w:val="001143F1"/>
    <w:rsid w:val="001251B5"/>
    <w:rsid w:val="0013624F"/>
    <w:rsid w:val="00162DBF"/>
    <w:rsid w:val="001A4B6E"/>
    <w:rsid w:val="001C6777"/>
    <w:rsid w:val="001D2A23"/>
    <w:rsid w:val="001E0EA7"/>
    <w:rsid w:val="001E67B4"/>
    <w:rsid w:val="002019C7"/>
    <w:rsid w:val="002145AF"/>
    <w:rsid w:val="00294EB6"/>
    <w:rsid w:val="002A4267"/>
    <w:rsid w:val="002A55C3"/>
    <w:rsid w:val="002C796B"/>
    <w:rsid w:val="002D0EE4"/>
    <w:rsid w:val="002D4DB5"/>
    <w:rsid w:val="002D668D"/>
    <w:rsid w:val="002E1BCB"/>
    <w:rsid w:val="00315FF8"/>
    <w:rsid w:val="00337872"/>
    <w:rsid w:val="00352018"/>
    <w:rsid w:val="00361B97"/>
    <w:rsid w:val="00367528"/>
    <w:rsid w:val="0039262A"/>
    <w:rsid w:val="00392F26"/>
    <w:rsid w:val="003B25BD"/>
    <w:rsid w:val="003C01B5"/>
    <w:rsid w:val="003D2522"/>
    <w:rsid w:val="003E2855"/>
    <w:rsid w:val="003E458F"/>
    <w:rsid w:val="003E4F32"/>
    <w:rsid w:val="004158F7"/>
    <w:rsid w:val="004371BA"/>
    <w:rsid w:val="00445D8B"/>
    <w:rsid w:val="00447132"/>
    <w:rsid w:val="00463DFD"/>
    <w:rsid w:val="004837ED"/>
    <w:rsid w:val="004C2DED"/>
    <w:rsid w:val="004E10CB"/>
    <w:rsid w:val="005076D1"/>
    <w:rsid w:val="005638C5"/>
    <w:rsid w:val="005A136D"/>
    <w:rsid w:val="005B5488"/>
    <w:rsid w:val="005C47CF"/>
    <w:rsid w:val="005D15EB"/>
    <w:rsid w:val="00633723"/>
    <w:rsid w:val="006708D6"/>
    <w:rsid w:val="00670D5F"/>
    <w:rsid w:val="0069082B"/>
    <w:rsid w:val="006A25D1"/>
    <w:rsid w:val="006A5DA4"/>
    <w:rsid w:val="006C7504"/>
    <w:rsid w:val="006F1DAA"/>
    <w:rsid w:val="00700FA5"/>
    <w:rsid w:val="007031D3"/>
    <w:rsid w:val="0074748C"/>
    <w:rsid w:val="00761870"/>
    <w:rsid w:val="007708A8"/>
    <w:rsid w:val="007A2A5E"/>
    <w:rsid w:val="007C2271"/>
    <w:rsid w:val="007D2572"/>
    <w:rsid w:val="007E5946"/>
    <w:rsid w:val="007E594C"/>
    <w:rsid w:val="00816208"/>
    <w:rsid w:val="008244AE"/>
    <w:rsid w:val="00826C82"/>
    <w:rsid w:val="008332B5"/>
    <w:rsid w:val="00854512"/>
    <w:rsid w:val="00907100"/>
    <w:rsid w:val="00931CD9"/>
    <w:rsid w:val="00956087"/>
    <w:rsid w:val="00962D45"/>
    <w:rsid w:val="00971F5F"/>
    <w:rsid w:val="00975673"/>
    <w:rsid w:val="00975B06"/>
    <w:rsid w:val="00980522"/>
    <w:rsid w:val="009A49B6"/>
    <w:rsid w:val="009A4E09"/>
    <w:rsid w:val="009A7005"/>
    <w:rsid w:val="009D19ED"/>
    <w:rsid w:val="00A16FD8"/>
    <w:rsid w:val="00A20DB4"/>
    <w:rsid w:val="00A3464F"/>
    <w:rsid w:val="00A438E4"/>
    <w:rsid w:val="00A6392D"/>
    <w:rsid w:val="00A752D6"/>
    <w:rsid w:val="00A760C9"/>
    <w:rsid w:val="00AC4123"/>
    <w:rsid w:val="00AC7A52"/>
    <w:rsid w:val="00AE2065"/>
    <w:rsid w:val="00B039C1"/>
    <w:rsid w:val="00B07D10"/>
    <w:rsid w:val="00B30ECE"/>
    <w:rsid w:val="00B50DD9"/>
    <w:rsid w:val="00B74987"/>
    <w:rsid w:val="00B80AE0"/>
    <w:rsid w:val="00B8545B"/>
    <w:rsid w:val="00BB50D5"/>
    <w:rsid w:val="00BF52F1"/>
    <w:rsid w:val="00C10346"/>
    <w:rsid w:val="00C15C05"/>
    <w:rsid w:val="00C93B8C"/>
    <w:rsid w:val="00CA04A2"/>
    <w:rsid w:val="00CA3265"/>
    <w:rsid w:val="00CC3E90"/>
    <w:rsid w:val="00CE24F2"/>
    <w:rsid w:val="00CE7820"/>
    <w:rsid w:val="00CF1740"/>
    <w:rsid w:val="00CF3FA1"/>
    <w:rsid w:val="00D0312D"/>
    <w:rsid w:val="00D04E34"/>
    <w:rsid w:val="00D302BD"/>
    <w:rsid w:val="00D32A56"/>
    <w:rsid w:val="00D52093"/>
    <w:rsid w:val="00D77881"/>
    <w:rsid w:val="00DA6045"/>
    <w:rsid w:val="00E90304"/>
    <w:rsid w:val="00EC0EA7"/>
    <w:rsid w:val="00EC1ED4"/>
    <w:rsid w:val="00EE681E"/>
    <w:rsid w:val="00EF4F0A"/>
    <w:rsid w:val="00F06B97"/>
    <w:rsid w:val="00F46525"/>
    <w:rsid w:val="00F61FCD"/>
    <w:rsid w:val="00F86998"/>
    <w:rsid w:val="00F93970"/>
    <w:rsid w:val="00FC6631"/>
    <w:rsid w:val="00FF10D5"/>
    <w:rsid w:val="02522F87"/>
    <w:rsid w:val="37F41BB2"/>
    <w:rsid w:val="3D16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t-BR" w:eastAsia="en-US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3">
    <w:name w:val="heading 2"/>
    <w:basedOn w:val="1"/>
    <w:next w:val="1"/>
    <w:link w:val="18"/>
    <w:qFormat/>
    <w:uiPriority w:val="0"/>
    <w:pPr>
      <w:keepNext/>
      <w:jc w:val="center"/>
      <w:outlineLvl w:val="1"/>
    </w:pPr>
    <w:rPr>
      <w:rFonts w:ascii="Arial" w:hAnsi="Arial" w:cs="Arial"/>
      <w:b/>
      <w:bCs/>
      <w:sz w:val="22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21"/>
    <w:semiHidden/>
    <w:qFormat/>
    <w:uiPriority w:val="0"/>
    <w:pPr>
      <w:jc w:val="both"/>
    </w:pPr>
    <w:rPr>
      <w:rFonts w:ascii="Arial" w:hAnsi="Arial" w:cs="Arial"/>
      <w:szCs w:val="28"/>
    </w:rPr>
  </w:style>
  <w:style w:type="paragraph" w:styleId="5">
    <w:name w:val="annotation text"/>
    <w:basedOn w:val="1"/>
    <w:link w:val="27"/>
    <w:semiHidden/>
    <w:unhideWhenUsed/>
    <w:uiPriority w:val="99"/>
    <w:rPr>
      <w:sz w:val="20"/>
      <w:szCs w:val="20"/>
    </w:rPr>
  </w:style>
  <w:style w:type="paragraph" w:styleId="6">
    <w:name w:val="Title"/>
    <w:basedOn w:val="1"/>
    <w:link w:val="25"/>
    <w:qFormat/>
    <w:uiPriority w:val="0"/>
    <w:pPr>
      <w:jc w:val="center"/>
    </w:pPr>
    <w:rPr>
      <w:rFonts w:eastAsia="Times New Roman"/>
      <w:b/>
      <w:bCs/>
      <w:sz w:val="28"/>
      <w:lang w:eastAsia="pt-BR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8">
    <w:name w:val="header"/>
    <w:basedOn w:val="1"/>
    <w:link w:val="19"/>
    <w:semiHidden/>
    <w:uiPriority w:val="0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paragraph" w:styleId="9">
    <w:name w:val="annotation subject"/>
    <w:basedOn w:val="5"/>
    <w:next w:val="5"/>
    <w:link w:val="28"/>
    <w:semiHidden/>
    <w:unhideWhenUsed/>
    <w:uiPriority w:val="99"/>
    <w:rPr>
      <w:b/>
      <w:bCs/>
    </w:rPr>
  </w:style>
  <w:style w:type="paragraph" w:styleId="10">
    <w:name w:val="footer"/>
    <w:basedOn w:val="1"/>
    <w:link w:val="20"/>
    <w:semiHidden/>
    <w:qFormat/>
    <w:uiPriority w:val="0"/>
    <w:pPr>
      <w:tabs>
        <w:tab w:val="center" w:pos="4252"/>
        <w:tab w:val="right" w:pos="8504"/>
      </w:tabs>
    </w:pPr>
  </w:style>
  <w:style w:type="paragraph" w:styleId="11">
    <w:name w:val="Balloon Text"/>
    <w:basedOn w:val="1"/>
    <w:link w:val="23"/>
    <w:semiHidden/>
    <w:unhideWhenUsed/>
    <w:uiPriority w:val="99"/>
    <w:rPr>
      <w:rFonts w:ascii="Tahoma" w:hAnsi="Tahoma" w:cs="Tahoma"/>
      <w:sz w:val="16"/>
      <w:szCs w:val="16"/>
    </w:rPr>
  </w:style>
  <w:style w:type="paragraph" w:styleId="12">
    <w:name w:val="Body Text Indent"/>
    <w:basedOn w:val="1"/>
    <w:link w:val="24"/>
    <w:semiHidden/>
    <w:unhideWhenUsed/>
    <w:uiPriority w:val="99"/>
    <w:pPr>
      <w:spacing w:after="120"/>
      <w:ind w:left="283"/>
    </w:p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annotation reference"/>
    <w:basedOn w:val="13"/>
    <w:semiHidden/>
    <w:unhideWhenUsed/>
    <w:uiPriority w:val="99"/>
    <w:rPr>
      <w:sz w:val="16"/>
      <w:szCs w:val="16"/>
    </w:rPr>
  </w:style>
  <w:style w:type="character" w:customStyle="1" w:styleId="17">
    <w:name w:val="Título 1 Char"/>
    <w:basedOn w:val="13"/>
    <w:link w:val="2"/>
    <w:uiPriority w:val="0"/>
    <w:rPr>
      <w:rFonts w:ascii="Arial" w:hAnsi="Arial" w:eastAsia="SimSun" w:cs="Arial"/>
      <w:b/>
      <w:sz w:val="32"/>
      <w:szCs w:val="32"/>
      <w:lang w:eastAsia="en-US"/>
    </w:rPr>
  </w:style>
  <w:style w:type="character" w:customStyle="1" w:styleId="18">
    <w:name w:val="Título 2 Char"/>
    <w:basedOn w:val="13"/>
    <w:link w:val="3"/>
    <w:uiPriority w:val="0"/>
    <w:rPr>
      <w:rFonts w:ascii="Arial" w:hAnsi="Arial" w:eastAsia="SimSun" w:cs="Arial"/>
      <w:b/>
      <w:bCs/>
      <w:sz w:val="22"/>
      <w:szCs w:val="28"/>
      <w:lang w:eastAsia="en-US"/>
    </w:rPr>
  </w:style>
  <w:style w:type="character" w:customStyle="1" w:styleId="19">
    <w:name w:val="Cabeçalho Char"/>
    <w:basedOn w:val="13"/>
    <w:link w:val="8"/>
    <w:semiHidden/>
    <w:uiPriority w:val="0"/>
    <w:rPr>
      <w:rFonts w:eastAsia="Times New Roman"/>
      <w:sz w:val="20"/>
      <w:szCs w:val="20"/>
      <w:lang w:eastAsia="pt-BR"/>
    </w:rPr>
  </w:style>
  <w:style w:type="character" w:customStyle="1" w:styleId="20">
    <w:name w:val="Rodapé Char"/>
    <w:basedOn w:val="13"/>
    <w:link w:val="10"/>
    <w:semiHidden/>
    <w:uiPriority w:val="0"/>
    <w:rPr>
      <w:rFonts w:eastAsia="SimSun"/>
      <w:lang w:eastAsia="en-US"/>
    </w:rPr>
  </w:style>
  <w:style w:type="character" w:customStyle="1" w:styleId="21">
    <w:name w:val="Corpo de texto Char"/>
    <w:basedOn w:val="13"/>
    <w:link w:val="4"/>
    <w:semiHidden/>
    <w:uiPriority w:val="0"/>
    <w:rPr>
      <w:rFonts w:ascii="Arial" w:hAnsi="Arial" w:eastAsia="SimSun" w:cs="Arial"/>
      <w:szCs w:val="28"/>
      <w:lang w:eastAsia="en-US"/>
    </w:rPr>
  </w:style>
  <w:style w:type="paragraph" w:customStyle="1" w:styleId="22">
    <w:name w:val="Default"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character" w:customStyle="1" w:styleId="23">
    <w:name w:val="Texto de balão Char"/>
    <w:basedOn w:val="13"/>
    <w:link w:val="11"/>
    <w:semiHidden/>
    <w:qFormat/>
    <w:uiPriority w:val="99"/>
    <w:rPr>
      <w:rFonts w:ascii="Tahoma" w:hAnsi="Tahoma" w:eastAsia="SimSun" w:cs="Tahoma"/>
      <w:sz w:val="16"/>
      <w:szCs w:val="16"/>
      <w:lang w:eastAsia="en-US"/>
    </w:rPr>
  </w:style>
  <w:style w:type="character" w:customStyle="1" w:styleId="24">
    <w:name w:val="Recuo de corpo de texto Char"/>
    <w:basedOn w:val="13"/>
    <w:link w:val="12"/>
    <w:semiHidden/>
    <w:qFormat/>
    <w:uiPriority w:val="99"/>
    <w:rPr>
      <w:rFonts w:eastAsia="SimSun"/>
      <w:lang w:eastAsia="en-US"/>
    </w:rPr>
  </w:style>
  <w:style w:type="character" w:customStyle="1" w:styleId="25">
    <w:name w:val="Título Char"/>
    <w:basedOn w:val="13"/>
    <w:link w:val="6"/>
    <w:uiPriority w:val="0"/>
    <w:rPr>
      <w:rFonts w:eastAsia="Times New Roman"/>
      <w:b/>
      <w:bCs/>
      <w:sz w:val="28"/>
      <w:lang w:eastAsia="pt-BR"/>
    </w:rPr>
  </w:style>
  <w:style w:type="paragraph" w:styleId="26">
    <w:name w:val="List Paragraph"/>
    <w:basedOn w:val="1"/>
    <w:qFormat/>
    <w:uiPriority w:val="1"/>
    <w:pPr>
      <w:widowControl w:val="0"/>
      <w:autoSpaceDE w:val="0"/>
      <w:autoSpaceDN w:val="0"/>
      <w:spacing w:before="201"/>
      <w:ind w:left="102" w:firstLine="708"/>
      <w:jc w:val="both"/>
    </w:pPr>
    <w:rPr>
      <w:rFonts w:ascii="Arial" w:hAnsi="Arial" w:eastAsia="Arial" w:cs="Arial"/>
      <w:sz w:val="22"/>
      <w:szCs w:val="22"/>
      <w:lang w:eastAsia="pt-BR" w:bidi="pt-BR"/>
    </w:rPr>
  </w:style>
  <w:style w:type="character" w:customStyle="1" w:styleId="27">
    <w:name w:val="Texto de comentário Char"/>
    <w:basedOn w:val="13"/>
    <w:link w:val="5"/>
    <w:semiHidden/>
    <w:uiPriority w:val="99"/>
    <w:rPr>
      <w:rFonts w:eastAsia="SimSun"/>
      <w:sz w:val="20"/>
      <w:szCs w:val="20"/>
      <w:lang w:eastAsia="en-US"/>
    </w:rPr>
  </w:style>
  <w:style w:type="character" w:customStyle="1" w:styleId="28">
    <w:name w:val="Assunto do comentário Char"/>
    <w:basedOn w:val="27"/>
    <w:link w:val="9"/>
    <w:semiHidden/>
    <w:uiPriority w:val="99"/>
    <w:rPr>
      <w:rFonts w:eastAsia="SimSun"/>
      <w:b/>
      <w:bCs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Carla</Company>
  <Pages>2</Pages>
  <Words>510</Words>
  <Characters>2760</Characters>
  <Lines>23</Lines>
  <Paragraphs>6</Paragraphs>
  <TotalTime>3</TotalTime>
  <ScaleCrop>false</ScaleCrop>
  <LinksUpToDate>false</LinksUpToDate>
  <CharactersWithSpaces>3264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2019-12-10T09:23:00Z</dcterms:created>
  <dc:creator>Carla Vitale</dc:creator>
  <cp:lastModifiedBy>ppsilva</cp:lastModifiedBy>
  <cp:lastPrinted>2020-03-05T14:32:00Z</cp:lastPrinted>
  <dcterms:modified xsi:type="dcterms:W3CDTF">2020-03-11T17:32:47Z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1046-11.2.0.9169</vt:lpwstr>
  </property>
</Properties>
</file>