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2"/>
        <w:jc w:val="center"/>
        <w:rPr>
          <w:b/>
          <w:bCs/>
        </w:rPr>
      </w:pPr>
      <w:r>
        <w:rPr>
          <w:b/>
          <w:bCs/>
        </w:rPr>
        <w:t>PROJETO DE LEI Nº</w:t>
      </w: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ind w:left="4536"/>
        <w:jc w:val="both"/>
        <w:rPr>
          <w:b/>
          <w:bCs/>
        </w:rPr>
      </w:pPr>
      <w:r>
        <w:rPr>
          <w:b/>
          <w:bCs/>
        </w:rPr>
        <w:t xml:space="preserve"> </w:t>
      </w:r>
    </w:p>
    <w:p>
      <w:pPr>
        <w:pStyle w:val="22"/>
        <w:jc w:val="both"/>
      </w:pPr>
    </w:p>
    <w:p>
      <w:pPr>
        <w:pStyle w:val="22"/>
        <w:jc w:val="both"/>
      </w:pPr>
      <w:r>
        <w:t>Autor: Adriano Souza Santana (CABO DIDI)</w:t>
      </w:r>
    </w:p>
    <w:p>
      <w:pPr>
        <w:pStyle w:val="22"/>
        <w:jc w:val="both"/>
      </w:pPr>
    </w:p>
    <w:p>
      <w:pPr>
        <w:pStyle w:val="22"/>
        <w:ind w:left="3969"/>
        <w:jc w:val="both"/>
        <w:rPr>
          <w:b/>
        </w:rPr>
      </w:pPr>
    </w:p>
    <w:p>
      <w:pPr>
        <w:pStyle w:val="22"/>
        <w:ind w:left="3969"/>
        <w:jc w:val="both"/>
        <w:rPr>
          <w:rFonts w:eastAsia="SimSun"/>
          <w:b/>
          <w:color w:val="auto"/>
        </w:rPr>
      </w:pPr>
      <w:r>
        <w:rPr>
          <w:rFonts w:hint="default" w:eastAsia="SimSun"/>
          <w:b/>
          <w:color w:val="auto"/>
          <w:lang w:val="pt-BR"/>
        </w:rPr>
        <w:t>I</w:t>
      </w:r>
      <w:r>
        <w:rPr>
          <w:rFonts w:eastAsia="SimSun"/>
          <w:b/>
          <w:color w:val="auto"/>
        </w:rPr>
        <w:t>nstitui o Programa voluntário acolhedor para crianças recém-nascidas de mães dependentes de subst</w:t>
      </w:r>
      <w:r>
        <w:rPr>
          <w:rFonts w:hint="default" w:eastAsia="SimSun"/>
          <w:b/>
          <w:color w:val="auto"/>
          <w:lang w:val="pt-BR"/>
        </w:rPr>
        <w:t>â</w:t>
      </w:r>
      <w:r>
        <w:rPr>
          <w:rFonts w:eastAsia="SimSun"/>
          <w:b/>
          <w:color w:val="auto"/>
        </w:rPr>
        <w:t>ncias químicas e v</w:t>
      </w:r>
      <w:r>
        <w:rPr>
          <w:rFonts w:hint="default" w:eastAsia="SimSun"/>
          <w:b/>
          <w:color w:val="auto"/>
          <w:lang w:val="pt-BR"/>
        </w:rPr>
        <w:t>í</w:t>
      </w:r>
      <w:bookmarkStart w:id="0" w:name="_GoBack"/>
      <w:bookmarkEnd w:id="0"/>
      <w:r>
        <w:rPr>
          <w:rFonts w:eastAsia="SimSun"/>
          <w:b/>
          <w:color w:val="auto"/>
        </w:rPr>
        <w:t>timas da violência do tráfico de drogas</w:t>
      </w:r>
    </w:p>
    <w:p>
      <w:pPr>
        <w:pStyle w:val="22"/>
        <w:ind w:left="3969"/>
        <w:jc w:val="both"/>
        <w:rPr>
          <w:rFonts w:eastAsia="SimSun"/>
          <w:b/>
          <w:color w:val="auto"/>
        </w:rPr>
      </w:pPr>
    </w:p>
    <w:p>
      <w:pPr>
        <w:pStyle w:val="22"/>
        <w:ind w:left="3969"/>
        <w:jc w:val="both"/>
        <w:rPr>
          <w:rFonts w:eastAsia="SimSun"/>
          <w:b/>
          <w:color w:val="auto"/>
        </w:rPr>
      </w:pPr>
    </w:p>
    <w:p>
      <w:pPr>
        <w:pStyle w:val="22"/>
        <w:ind w:left="3969"/>
        <w:jc w:val="both"/>
        <w:rPr>
          <w:rFonts w:eastAsia="SimSun"/>
          <w:b/>
          <w:color w:val="auto"/>
        </w:rPr>
      </w:pPr>
    </w:p>
    <w:p>
      <w:pPr>
        <w:pStyle w:val="22"/>
        <w:jc w:val="both"/>
        <w:rPr>
          <w:b/>
          <w:bCs/>
        </w:rPr>
      </w:pPr>
      <w:r>
        <w:rPr>
          <w:b/>
          <w:bCs/>
        </w:rPr>
        <w:t>O PREFEITO DO MUNICÍPIO DE ARACAJU:</w:t>
      </w:r>
    </w:p>
    <w:p>
      <w:pPr>
        <w:pStyle w:val="22"/>
        <w:jc w:val="both"/>
        <w:rPr>
          <w:b/>
          <w:bCs/>
        </w:rPr>
      </w:pPr>
      <w:r>
        <w:rPr>
          <w:b/>
          <w:bCs/>
        </w:rPr>
        <w:t xml:space="preserve">Faz saber que a Câmara Municipal de Aracaju aprovou, e ele sanciona a seguinte Lei: </w:t>
      </w:r>
    </w:p>
    <w:p>
      <w:pPr>
        <w:jc w:val="both"/>
        <w:rPr>
          <w:lang w:eastAsia="pt-BR"/>
        </w:rPr>
      </w:pPr>
    </w:p>
    <w:p>
      <w:pPr>
        <w:shd w:val="clear" w:color="auto" w:fill="FFFFFF"/>
        <w:jc w:val="both"/>
      </w:pPr>
      <w:r>
        <w:rPr>
          <w:rFonts w:eastAsia="Times New Roman"/>
          <w:b/>
          <w:bCs/>
          <w:color w:val="000000"/>
          <w:lang w:eastAsia="pt-BR"/>
        </w:rPr>
        <w:t xml:space="preserve">Art. 1º </w:t>
      </w:r>
      <w:r>
        <w:t xml:space="preserve">Fica criado o Programa Voluntário Acolhedor com a finalidade de garantir a solidariedade e acolhimento de crianças recém-nascidas que se encontrem em condição de risco de morte ou perigo na qualidade do desenvolvimento para a vida decorrente da condição de dependência química vivida durante o período gestacional. 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jc w:val="both"/>
      </w:pPr>
      <w:r>
        <w:rPr>
          <w:b/>
        </w:rPr>
        <w:t xml:space="preserve">Art.2º </w:t>
      </w:r>
      <w:r>
        <w:t>O Programa Voluntário Acolhedor tem como diretrizes:</w:t>
      </w:r>
    </w:p>
    <w:p>
      <w:pPr>
        <w:jc w:val="both"/>
      </w:pPr>
    </w:p>
    <w:p>
      <w:pPr>
        <w:jc w:val="both"/>
      </w:pPr>
      <w:r>
        <w:t>I - atendimento de crianças recém-nascidas e em tratamento na Cidade de Aracaju em qualquer dos equipamentos de saúde públicos municipais:</w:t>
      </w:r>
    </w:p>
    <w:p>
      <w:pPr>
        <w:jc w:val="both"/>
      </w:pPr>
    </w:p>
    <w:p>
      <w:pPr>
        <w:jc w:val="both"/>
      </w:pPr>
      <w:r>
        <w:t>II - garantia de cadastro, seleção e qualificação dos voluntários a partir de diretrizes para a garantia dos direitos de crianças e suas famílias;</w:t>
      </w:r>
    </w:p>
    <w:p>
      <w:pPr>
        <w:jc w:val="both"/>
      </w:pPr>
    </w:p>
    <w:p>
      <w:pPr>
        <w:jc w:val="both"/>
      </w:pPr>
      <w:r>
        <w:t>III - estímulo a participação e difusão, pelos voluntários, do programa de Banco de Leite Humano, que integra o sistema de saúde e visa garantir qualidade no desenvolvimento de crianças em situação de vulnerabilidade, como medida de fortalecimento das ações solidárias e voluntárias na Cidade de Aracaju.</w:t>
      </w:r>
    </w:p>
    <w:p>
      <w:pPr>
        <w:jc w:val="both"/>
      </w:pPr>
    </w:p>
    <w:p>
      <w:pPr>
        <w:jc w:val="both"/>
      </w:pPr>
      <w:r>
        <w:rPr>
          <w:b/>
        </w:rPr>
        <w:t>Art.3º</w:t>
      </w:r>
      <w:r>
        <w:t xml:space="preserve"> A municipalidade garantirá, visando a melhoria de sua gestão pública, a geração de dados para o monitoramento e elaboração de indicadores que aprimorem as políticas públicas ligadas à proposta desta lei.</w:t>
      </w:r>
    </w:p>
    <w:p>
      <w:pPr>
        <w:jc w:val="both"/>
        <w:rPr>
          <w:b/>
        </w:rPr>
      </w:pPr>
    </w:p>
    <w:p>
      <w:pPr>
        <w:jc w:val="both"/>
      </w:pPr>
      <w:r>
        <w:rPr>
          <w:b/>
        </w:rPr>
        <w:t>Art.4º</w:t>
      </w:r>
      <w:r>
        <w:t xml:space="preserve"> O programa previsto nesta lei, no que se refere à ação pública, será implantado progressivamente, conforme haja recursos para sua efetivação.</w:t>
      </w:r>
    </w:p>
    <w:p>
      <w:pPr>
        <w:jc w:val="both"/>
        <w:rPr>
          <w:b/>
        </w:rPr>
      </w:pPr>
    </w:p>
    <w:p>
      <w:pPr>
        <w:jc w:val="both"/>
      </w:pPr>
      <w:r>
        <w:rPr>
          <w:b/>
        </w:rPr>
        <w:t>Art.5º</w:t>
      </w:r>
      <w:r>
        <w:t xml:space="preserve"> Esta Lei será regulamentada por ato próprio do Poder Executivo.</w:t>
      </w:r>
    </w:p>
    <w:p>
      <w:pPr>
        <w:jc w:val="both"/>
      </w:pPr>
    </w:p>
    <w:p>
      <w:pPr>
        <w:jc w:val="both"/>
      </w:pPr>
      <w:r>
        <w:rPr>
          <w:b/>
        </w:rPr>
        <w:t xml:space="preserve">Art.6º </w:t>
      </w:r>
      <w:r>
        <w:t xml:space="preserve">As despesas decorrentes desta lei correrão por conta de dotações orçamentárias próprias, suplementadas se necessário. </w:t>
      </w:r>
    </w:p>
    <w:p>
      <w:pPr>
        <w:jc w:val="both"/>
      </w:pPr>
    </w:p>
    <w:p>
      <w:pPr>
        <w:jc w:val="both"/>
      </w:pPr>
      <w:r>
        <w:rPr>
          <w:b/>
        </w:rPr>
        <w:t>Art. 7º</w:t>
      </w:r>
      <w:r>
        <w:t xml:space="preserve"> Esta Lei entrará em vigor na data de sua publicação, revogadas as disposições em contrário.</w:t>
      </w:r>
    </w:p>
    <w:p>
      <w:pPr>
        <w:jc w:val="both"/>
        <w:rPr>
          <w:rFonts w:eastAsiaTheme="minorEastAsia"/>
          <w:lang w:eastAsia="ja-JP"/>
        </w:rPr>
      </w:pPr>
    </w:p>
    <w:p>
      <w:pPr>
        <w:jc w:val="both"/>
        <w:rPr>
          <w:rFonts w:eastAsiaTheme="minorEastAsia"/>
          <w:lang w:eastAsia="ja-JP"/>
        </w:rPr>
      </w:pPr>
    </w:p>
    <w:p>
      <w:pPr>
        <w:jc w:val="both"/>
        <w:rPr>
          <w:rFonts w:eastAsiaTheme="minorEastAsia"/>
          <w:lang w:eastAsia="ja-JP"/>
        </w:rPr>
      </w:pPr>
    </w:p>
    <w:p>
      <w:pPr>
        <w:jc w:val="both"/>
        <w:rPr>
          <w:rFonts w:eastAsiaTheme="minorEastAsia"/>
          <w:lang w:eastAsia="ja-JP"/>
        </w:rPr>
      </w:pPr>
    </w:p>
    <w:p>
      <w:pPr>
        <w:jc w:val="both"/>
      </w:pPr>
      <w:r>
        <w:t xml:space="preserve">Palácio Graccho Cardoso, Aracaju, </w:t>
      </w:r>
      <w:r>
        <w:rPr>
          <w:rFonts w:hint="default"/>
          <w:lang w:val="pt-BR"/>
        </w:rPr>
        <w:t>19</w:t>
      </w:r>
      <w:r>
        <w:t xml:space="preserve"> de </w:t>
      </w:r>
      <w:r>
        <w:rPr>
          <w:rFonts w:hint="default"/>
          <w:lang w:val="pt-BR"/>
        </w:rPr>
        <w:t>fevereiro</w:t>
      </w:r>
      <w:r>
        <w:t xml:space="preserve"> de 20</w:t>
      </w:r>
      <w:r>
        <w:rPr>
          <w:rFonts w:hint="default"/>
          <w:lang w:val="pt-BR"/>
        </w:rPr>
        <w:t>20</w:t>
      </w:r>
      <w:r>
        <w:t>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pStyle w:val="22"/>
        <w:jc w:val="center"/>
        <w:rPr>
          <w:b/>
        </w:rPr>
      </w:pPr>
      <w:r>
        <w:rPr>
          <w:b/>
          <w:bCs/>
        </w:rPr>
        <w:t>Adriano Souza Santana (CABO DIDI)</w:t>
      </w:r>
    </w:p>
    <w:p>
      <w:pPr>
        <w:jc w:val="center"/>
        <w:rPr>
          <w:b/>
          <w:bCs/>
        </w:rPr>
      </w:pPr>
      <w:r>
        <w:rPr>
          <w:b/>
          <w:bCs/>
        </w:rPr>
        <w:t>Vereador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  <w:rPr>
          <w:b/>
          <w:bCs/>
        </w:rPr>
      </w:pPr>
    </w:p>
    <w:p>
      <w:pPr>
        <w:pStyle w:val="22"/>
        <w:jc w:val="center"/>
      </w:pPr>
      <w:r>
        <w:rPr>
          <w:b/>
          <w:bCs/>
        </w:rPr>
        <w:t>JUSTIFICATIVA</w:t>
      </w:r>
    </w:p>
    <w:p>
      <w:pPr>
        <w:pStyle w:val="4"/>
        <w:ind w:right="121"/>
        <w:rPr>
          <w:rFonts w:ascii="Times New Roman" w:hAnsi="Times New Roman" w:cs="Times New Roman"/>
          <w:szCs w:val="24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O direito à proteção integral de crianças e adolescentes é preceito constitucional disposto no artigo 227 da Constituição Federal de 1988, cabendo à família e à sociedade, solidariamente e coletivamente, agirem de forma a garantir direitos para crianças, desde nascituro até o nascimento com vida. O princípio da proteção integral e da dignidade humana são caminhos para a construção de uma sociedade solidária, justa e livre.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 xml:space="preserve">A Lei Federal 13.527 de 8 de março de 2016, dispõe sobre as políticas públicas para a primeira infância, e, para além da proteção integral, dispõe sobre a importância da abordagem participativa, envolvendo a sociedade e visando uma melhor garantia da oferta dos serviços. 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Dessa forma, solicito atenção aos nobres vereadores para a discussão e aprovação do projeto de lei.</w:t>
      </w: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</w:p>
    <w:p>
      <w:pPr>
        <w:shd w:val="clear" w:color="auto" w:fill="FFFFFF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cr/>
      </w:r>
    </w:p>
    <w:p>
      <w:pPr>
        <w:jc w:val="both"/>
      </w:pPr>
    </w:p>
    <w:p>
      <w:pPr>
        <w:jc w:val="both"/>
      </w:pPr>
      <w:r>
        <w:t>Palácio Graccho Cardoso, Aracaju, 15 de novembro de 2019.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pStyle w:val="22"/>
        <w:jc w:val="center"/>
        <w:rPr>
          <w:b/>
        </w:rPr>
      </w:pPr>
      <w:r>
        <w:rPr>
          <w:b/>
          <w:bCs/>
        </w:rPr>
        <w:t>Adriano Souza Santana (CABO DIDI)</w:t>
      </w:r>
    </w:p>
    <w:p>
      <w:pPr>
        <w:jc w:val="center"/>
      </w:pPr>
      <w:r>
        <w:rPr>
          <w:b/>
          <w:bCs/>
        </w:rPr>
        <w:t>Vereador</w:t>
      </w:r>
    </w:p>
    <w:sectPr>
      <w:headerReference r:id="rId3" w:type="default"/>
      <w:footerReference r:id="rId4" w:type="default"/>
      <w:pgSz w:w="12240" w:h="15840"/>
      <w:pgMar w:top="1417" w:right="1701" w:bottom="1079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t xml:space="preserve">Pça: Olímpio Campos, 74 – Centro CEP: 49010-010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drawing>
        <wp:inline distT="0" distB="0" distL="0" distR="0">
          <wp:extent cx="90487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8"/>
      <w:jc w:val="center"/>
      <w:rPr>
        <w:b/>
      </w:rPr>
    </w:pPr>
    <w:r>
      <w:rPr>
        <w:b/>
      </w:rPr>
      <w:t>ESTADO DE SERGIPE</w:t>
    </w:r>
  </w:p>
  <w:p>
    <w:pPr>
      <w:pStyle w:val="8"/>
      <w:jc w:val="center"/>
      <w:rPr>
        <w:b/>
      </w:rPr>
    </w:pPr>
    <w:r>
      <w:rPr>
        <w:b/>
      </w:rPr>
      <w:t>CÂMARA MUNICIPAL DE ARACAJU</w:t>
    </w:r>
  </w:p>
  <w:p>
    <w:pPr>
      <w:pStyle w:val="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855"/>
    <w:rsid w:val="000225C7"/>
    <w:rsid w:val="00037F08"/>
    <w:rsid w:val="00045AF6"/>
    <w:rsid w:val="00053900"/>
    <w:rsid w:val="00053EB0"/>
    <w:rsid w:val="00055C11"/>
    <w:rsid w:val="00065F59"/>
    <w:rsid w:val="00076524"/>
    <w:rsid w:val="000C2D7A"/>
    <w:rsid w:val="001143F1"/>
    <w:rsid w:val="001251B5"/>
    <w:rsid w:val="0013624F"/>
    <w:rsid w:val="00162DBF"/>
    <w:rsid w:val="001A4B6E"/>
    <w:rsid w:val="001C6777"/>
    <w:rsid w:val="001D2A23"/>
    <w:rsid w:val="001E0EA7"/>
    <w:rsid w:val="001E67B4"/>
    <w:rsid w:val="002019C7"/>
    <w:rsid w:val="00223D42"/>
    <w:rsid w:val="002A4267"/>
    <w:rsid w:val="002A55C3"/>
    <w:rsid w:val="002C796B"/>
    <w:rsid w:val="002D0EE4"/>
    <w:rsid w:val="002D4DB5"/>
    <w:rsid w:val="002D668D"/>
    <w:rsid w:val="002E1BCB"/>
    <w:rsid w:val="00315FF8"/>
    <w:rsid w:val="00337872"/>
    <w:rsid w:val="00361B97"/>
    <w:rsid w:val="00367528"/>
    <w:rsid w:val="0039262A"/>
    <w:rsid w:val="00392F26"/>
    <w:rsid w:val="003B25BD"/>
    <w:rsid w:val="003D2522"/>
    <w:rsid w:val="003E2855"/>
    <w:rsid w:val="003E458F"/>
    <w:rsid w:val="004158F7"/>
    <w:rsid w:val="004371BA"/>
    <w:rsid w:val="00445D8B"/>
    <w:rsid w:val="00447132"/>
    <w:rsid w:val="00463DFD"/>
    <w:rsid w:val="004C2DED"/>
    <w:rsid w:val="004E10CB"/>
    <w:rsid w:val="004F272B"/>
    <w:rsid w:val="005076D1"/>
    <w:rsid w:val="005638C5"/>
    <w:rsid w:val="005A136D"/>
    <w:rsid w:val="005B5488"/>
    <w:rsid w:val="005C47CF"/>
    <w:rsid w:val="005D15EB"/>
    <w:rsid w:val="00633723"/>
    <w:rsid w:val="006708D6"/>
    <w:rsid w:val="00670D5F"/>
    <w:rsid w:val="00672578"/>
    <w:rsid w:val="006A25D1"/>
    <w:rsid w:val="006A5DA4"/>
    <w:rsid w:val="006E01A1"/>
    <w:rsid w:val="006F1DAA"/>
    <w:rsid w:val="00700FA5"/>
    <w:rsid w:val="007031D3"/>
    <w:rsid w:val="0074748C"/>
    <w:rsid w:val="00761870"/>
    <w:rsid w:val="007A2A5E"/>
    <w:rsid w:val="007E5946"/>
    <w:rsid w:val="007E594C"/>
    <w:rsid w:val="00816208"/>
    <w:rsid w:val="00826C82"/>
    <w:rsid w:val="008332B5"/>
    <w:rsid w:val="00854512"/>
    <w:rsid w:val="00860EDE"/>
    <w:rsid w:val="00907100"/>
    <w:rsid w:val="00931CD9"/>
    <w:rsid w:val="009343DF"/>
    <w:rsid w:val="00956087"/>
    <w:rsid w:val="00962D45"/>
    <w:rsid w:val="00971F5F"/>
    <w:rsid w:val="00975673"/>
    <w:rsid w:val="00975B06"/>
    <w:rsid w:val="009A49B6"/>
    <w:rsid w:val="009A4E09"/>
    <w:rsid w:val="009A7005"/>
    <w:rsid w:val="009D19ED"/>
    <w:rsid w:val="00A16FD8"/>
    <w:rsid w:val="00A3464F"/>
    <w:rsid w:val="00A438E4"/>
    <w:rsid w:val="00A6392D"/>
    <w:rsid w:val="00A752D6"/>
    <w:rsid w:val="00A760C9"/>
    <w:rsid w:val="00AC4123"/>
    <w:rsid w:val="00AC7A52"/>
    <w:rsid w:val="00AE2065"/>
    <w:rsid w:val="00B000B1"/>
    <w:rsid w:val="00B039C1"/>
    <w:rsid w:val="00B07D10"/>
    <w:rsid w:val="00B30ECE"/>
    <w:rsid w:val="00B50DD9"/>
    <w:rsid w:val="00B724B0"/>
    <w:rsid w:val="00B74987"/>
    <w:rsid w:val="00B80AE0"/>
    <w:rsid w:val="00B8545B"/>
    <w:rsid w:val="00BF52F1"/>
    <w:rsid w:val="00C10346"/>
    <w:rsid w:val="00C15C05"/>
    <w:rsid w:val="00C93B8C"/>
    <w:rsid w:val="00CA04A2"/>
    <w:rsid w:val="00CA3265"/>
    <w:rsid w:val="00CB0A37"/>
    <w:rsid w:val="00CC3E90"/>
    <w:rsid w:val="00CE24F2"/>
    <w:rsid w:val="00CE7820"/>
    <w:rsid w:val="00CF1740"/>
    <w:rsid w:val="00CF3FA1"/>
    <w:rsid w:val="00D0312D"/>
    <w:rsid w:val="00D04E34"/>
    <w:rsid w:val="00D32A56"/>
    <w:rsid w:val="00D52093"/>
    <w:rsid w:val="00D77881"/>
    <w:rsid w:val="00DA6045"/>
    <w:rsid w:val="00E90304"/>
    <w:rsid w:val="00EC1ED4"/>
    <w:rsid w:val="00EE681E"/>
    <w:rsid w:val="00EF4F0A"/>
    <w:rsid w:val="00F06B97"/>
    <w:rsid w:val="00F46525"/>
    <w:rsid w:val="00F61FCD"/>
    <w:rsid w:val="00F93970"/>
    <w:rsid w:val="00FC319B"/>
    <w:rsid w:val="00FC6631"/>
    <w:rsid w:val="00FF10D5"/>
    <w:rsid w:val="2A8A4D75"/>
    <w:rsid w:val="7E0F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name="header"/>
    <w:lsdException w:qFormat="1"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pt-BR" w:eastAsia="en-US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3">
    <w:name w:val="heading 2"/>
    <w:basedOn w:val="1"/>
    <w:next w:val="1"/>
    <w:link w:val="18"/>
    <w:qFormat/>
    <w:uiPriority w:val="0"/>
    <w:pPr>
      <w:keepNext/>
      <w:jc w:val="center"/>
      <w:outlineLvl w:val="1"/>
    </w:pPr>
    <w:rPr>
      <w:rFonts w:ascii="Arial" w:hAnsi="Arial" w:cs="Arial"/>
      <w:b/>
      <w:bCs/>
      <w:sz w:val="22"/>
      <w:szCs w:val="28"/>
    </w:rPr>
  </w:style>
  <w:style w:type="character" w:default="1" w:styleId="13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21"/>
    <w:semiHidden/>
    <w:uiPriority w:val="0"/>
    <w:pPr>
      <w:jc w:val="both"/>
    </w:pPr>
    <w:rPr>
      <w:rFonts w:ascii="Arial" w:hAnsi="Arial" w:cs="Arial"/>
      <w:szCs w:val="28"/>
    </w:rPr>
  </w:style>
  <w:style w:type="paragraph" w:styleId="5">
    <w:name w:val="annotation text"/>
    <w:basedOn w:val="1"/>
    <w:link w:val="27"/>
    <w:semiHidden/>
    <w:unhideWhenUsed/>
    <w:uiPriority w:val="99"/>
    <w:rPr>
      <w:sz w:val="20"/>
      <w:szCs w:val="20"/>
    </w:rPr>
  </w:style>
  <w:style w:type="paragraph" w:styleId="6">
    <w:name w:val="Title"/>
    <w:basedOn w:val="1"/>
    <w:link w:val="25"/>
    <w:qFormat/>
    <w:uiPriority w:val="0"/>
    <w:pPr>
      <w:jc w:val="center"/>
    </w:pPr>
    <w:rPr>
      <w:rFonts w:eastAsia="Times New Roman"/>
      <w:b/>
      <w:bCs/>
      <w:sz w:val="28"/>
      <w:lang w:eastAsia="pt-BR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8">
    <w:name w:val="header"/>
    <w:basedOn w:val="1"/>
    <w:link w:val="19"/>
    <w:semiHidden/>
    <w:qFormat/>
    <w:uiPriority w:val="0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paragraph" w:styleId="9">
    <w:name w:val="annotation subject"/>
    <w:basedOn w:val="5"/>
    <w:next w:val="5"/>
    <w:link w:val="28"/>
    <w:semiHidden/>
    <w:unhideWhenUsed/>
    <w:uiPriority w:val="99"/>
    <w:rPr>
      <w:b/>
      <w:bCs/>
    </w:rPr>
  </w:style>
  <w:style w:type="paragraph" w:styleId="10">
    <w:name w:val="footer"/>
    <w:basedOn w:val="1"/>
    <w:link w:val="20"/>
    <w:semiHidden/>
    <w:qFormat/>
    <w:uiPriority w:val="0"/>
    <w:pPr>
      <w:tabs>
        <w:tab w:val="center" w:pos="4252"/>
        <w:tab w:val="right" w:pos="8504"/>
      </w:tabs>
    </w:pPr>
  </w:style>
  <w:style w:type="paragraph" w:styleId="11">
    <w:name w:val="Balloon Text"/>
    <w:basedOn w:val="1"/>
    <w:link w:val="23"/>
    <w:semiHidden/>
    <w:unhideWhenUsed/>
    <w:uiPriority w:val="99"/>
    <w:rPr>
      <w:rFonts w:ascii="Tahoma" w:hAnsi="Tahoma" w:cs="Tahoma"/>
      <w:sz w:val="16"/>
      <w:szCs w:val="16"/>
    </w:rPr>
  </w:style>
  <w:style w:type="paragraph" w:styleId="12">
    <w:name w:val="Body Text Indent"/>
    <w:basedOn w:val="1"/>
    <w:link w:val="24"/>
    <w:semiHidden/>
    <w:unhideWhenUsed/>
    <w:uiPriority w:val="99"/>
    <w:pPr>
      <w:spacing w:after="120"/>
      <w:ind w:left="283"/>
    </w:p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annotation reference"/>
    <w:basedOn w:val="13"/>
    <w:semiHidden/>
    <w:unhideWhenUsed/>
    <w:uiPriority w:val="99"/>
    <w:rPr>
      <w:sz w:val="16"/>
      <w:szCs w:val="16"/>
    </w:rPr>
  </w:style>
  <w:style w:type="character" w:customStyle="1" w:styleId="17">
    <w:name w:val="Título 1 Char"/>
    <w:basedOn w:val="13"/>
    <w:link w:val="2"/>
    <w:uiPriority w:val="0"/>
    <w:rPr>
      <w:rFonts w:ascii="Arial" w:hAnsi="Arial" w:eastAsia="SimSun" w:cs="Arial"/>
      <w:b/>
      <w:sz w:val="32"/>
      <w:szCs w:val="32"/>
      <w:lang w:eastAsia="en-US"/>
    </w:rPr>
  </w:style>
  <w:style w:type="character" w:customStyle="1" w:styleId="18">
    <w:name w:val="Título 2 Char"/>
    <w:basedOn w:val="13"/>
    <w:link w:val="3"/>
    <w:uiPriority w:val="0"/>
    <w:rPr>
      <w:rFonts w:ascii="Arial" w:hAnsi="Arial" w:eastAsia="SimSun" w:cs="Arial"/>
      <w:b/>
      <w:bCs/>
      <w:sz w:val="22"/>
      <w:szCs w:val="28"/>
      <w:lang w:eastAsia="en-US"/>
    </w:rPr>
  </w:style>
  <w:style w:type="character" w:customStyle="1" w:styleId="19">
    <w:name w:val="Cabeçalho Char"/>
    <w:basedOn w:val="13"/>
    <w:link w:val="8"/>
    <w:semiHidden/>
    <w:uiPriority w:val="0"/>
    <w:rPr>
      <w:rFonts w:eastAsia="Times New Roman"/>
      <w:sz w:val="20"/>
      <w:szCs w:val="20"/>
      <w:lang w:eastAsia="pt-BR"/>
    </w:rPr>
  </w:style>
  <w:style w:type="character" w:customStyle="1" w:styleId="20">
    <w:name w:val="Rodapé Char"/>
    <w:basedOn w:val="13"/>
    <w:link w:val="10"/>
    <w:semiHidden/>
    <w:uiPriority w:val="0"/>
    <w:rPr>
      <w:rFonts w:eastAsia="SimSun"/>
      <w:lang w:eastAsia="en-US"/>
    </w:rPr>
  </w:style>
  <w:style w:type="character" w:customStyle="1" w:styleId="21">
    <w:name w:val="Corpo de texto Char"/>
    <w:basedOn w:val="13"/>
    <w:link w:val="4"/>
    <w:semiHidden/>
    <w:uiPriority w:val="0"/>
    <w:rPr>
      <w:rFonts w:ascii="Arial" w:hAnsi="Arial" w:eastAsia="SimSun" w:cs="Arial"/>
      <w:szCs w:val="28"/>
      <w:lang w:eastAsia="en-US"/>
    </w:rPr>
  </w:style>
  <w:style w:type="paragraph" w:customStyle="1" w:styleId="22">
    <w:name w:val="Default"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character" w:customStyle="1" w:styleId="23">
    <w:name w:val="Texto de balão Char"/>
    <w:basedOn w:val="13"/>
    <w:link w:val="11"/>
    <w:semiHidden/>
    <w:qFormat/>
    <w:uiPriority w:val="99"/>
    <w:rPr>
      <w:rFonts w:ascii="Tahoma" w:hAnsi="Tahoma" w:eastAsia="SimSun" w:cs="Tahoma"/>
      <w:sz w:val="16"/>
      <w:szCs w:val="16"/>
      <w:lang w:eastAsia="en-US"/>
    </w:rPr>
  </w:style>
  <w:style w:type="character" w:customStyle="1" w:styleId="24">
    <w:name w:val="Recuo de corpo de texto Char"/>
    <w:basedOn w:val="13"/>
    <w:link w:val="12"/>
    <w:semiHidden/>
    <w:uiPriority w:val="99"/>
    <w:rPr>
      <w:rFonts w:eastAsia="SimSun"/>
      <w:lang w:eastAsia="en-US"/>
    </w:rPr>
  </w:style>
  <w:style w:type="character" w:customStyle="1" w:styleId="25">
    <w:name w:val="Título Char"/>
    <w:basedOn w:val="13"/>
    <w:link w:val="6"/>
    <w:uiPriority w:val="0"/>
    <w:rPr>
      <w:rFonts w:eastAsia="Times New Roman"/>
      <w:b/>
      <w:bCs/>
      <w:sz w:val="28"/>
      <w:lang w:eastAsia="pt-BR"/>
    </w:rPr>
  </w:style>
  <w:style w:type="paragraph" w:styleId="26">
    <w:name w:val="List Paragraph"/>
    <w:basedOn w:val="1"/>
    <w:qFormat/>
    <w:uiPriority w:val="1"/>
    <w:pPr>
      <w:widowControl w:val="0"/>
      <w:autoSpaceDE w:val="0"/>
      <w:autoSpaceDN w:val="0"/>
      <w:spacing w:before="201"/>
      <w:ind w:left="102" w:firstLine="708"/>
      <w:jc w:val="both"/>
    </w:pPr>
    <w:rPr>
      <w:rFonts w:ascii="Arial" w:hAnsi="Arial" w:eastAsia="Arial" w:cs="Arial"/>
      <w:sz w:val="22"/>
      <w:szCs w:val="22"/>
      <w:lang w:eastAsia="pt-BR" w:bidi="pt-BR"/>
    </w:rPr>
  </w:style>
  <w:style w:type="character" w:customStyle="1" w:styleId="27">
    <w:name w:val="Texto de comentário Char"/>
    <w:basedOn w:val="13"/>
    <w:link w:val="5"/>
    <w:semiHidden/>
    <w:uiPriority w:val="99"/>
    <w:rPr>
      <w:rFonts w:eastAsia="SimSun"/>
      <w:sz w:val="20"/>
      <w:szCs w:val="20"/>
      <w:lang w:eastAsia="en-US"/>
    </w:rPr>
  </w:style>
  <w:style w:type="character" w:customStyle="1" w:styleId="28">
    <w:name w:val="Assunto do comentário Char"/>
    <w:basedOn w:val="27"/>
    <w:link w:val="9"/>
    <w:semiHidden/>
    <w:uiPriority w:val="99"/>
    <w:rPr>
      <w:rFonts w:eastAsia="SimSun"/>
      <w:b/>
      <w:bCs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Carla</Company>
  <Pages>2</Pages>
  <Words>472</Words>
  <Characters>2554</Characters>
  <Lines>21</Lines>
  <Paragraphs>6</Paragraphs>
  <TotalTime>4198</TotalTime>
  <ScaleCrop>false</ScaleCrop>
  <LinksUpToDate>false</LinksUpToDate>
  <CharactersWithSpaces>3020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2019-11-18T10:46:00Z</dcterms:created>
  <dc:creator>Carla Vitale</dc:creator>
  <cp:lastModifiedBy>ppsilva</cp:lastModifiedBy>
  <cp:lastPrinted>2020-03-11T17:28:20Z</cp:lastPrinted>
  <dcterms:modified xsi:type="dcterms:W3CDTF">2020-03-11T17:28:26Z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1046-11.2.0.9169</vt:lpwstr>
  </property>
</Properties>
</file>